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96F5CD">
      <w:pPr>
        <w:pageBreakBefore w:val="0"/>
        <w:kinsoku/>
        <w:wordWrap/>
        <w:overflowPunct/>
        <w:topLinePunct w:val="0"/>
        <w:autoSpaceDE/>
        <w:autoSpaceDN/>
        <w:bidi w:val="0"/>
        <w:adjustRightInd/>
        <w:snapToGrid/>
        <w:spacing w:line="560" w:lineRule="exact"/>
      </w:pPr>
      <w:bookmarkStart w:id="0" w:name="_Toc22709"/>
      <w:bookmarkStart w:id="1" w:name="_Toc29020"/>
      <w:bookmarkStart w:id="2" w:name="_Toc13542"/>
      <w:bookmarkStart w:id="3" w:name="_Toc29377"/>
      <w:bookmarkStart w:id="4" w:name="_Toc16628"/>
      <w:bookmarkStart w:id="5" w:name="_Toc26206"/>
      <w:bookmarkStart w:id="6" w:name="_Toc9330"/>
    </w:p>
    <w:p w14:paraId="3507D21A">
      <w:pPr>
        <w:pStyle w:val="3"/>
        <w:pageBreakBefore w:val="0"/>
        <w:widowControl/>
        <w:kinsoku/>
        <w:wordWrap/>
        <w:overflowPunct/>
        <w:topLinePunct w:val="0"/>
        <w:autoSpaceDE/>
        <w:autoSpaceDN/>
        <w:bidi w:val="0"/>
        <w:adjustRightInd/>
        <w:snapToGrid/>
        <w:spacing w:beforeAutospacing="0" w:afterAutospacing="0" w:line="560" w:lineRule="exact"/>
        <w:jc w:val="center"/>
        <w:rPr>
          <w:rFonts w:hint="default" w:ascii="方正小标宋_GBK" w:hAnsi="Times New Roman" w:eastAsia="方正小标宋_GBK"/>
          <w:b w:val="0"/>
          <w:bCs w:val="0"/>
          <w:sz w:val="44"/>
          <w:szCs w:val="44"/>
        </w:rPr>
      </w:pPr>
      <w:r>
        <w:rPr>
          <w:rFonts w:ascii="方正小标宋_GBK" w:hAnsi="Times New Roman" w:eastAsia="方正小标宋_GBK"/>
          <w:b w:val="0"/>
          <w:bCs w:val="0"/>
          <w:sz w:val="44"/>
          <w:szCs w:val="44"/>
        </w:rPr>
        <w:t>石嘴山市大武口区电动汽车充电基础设施</w:t>
      </w:r>
      <w:bookmarkEnd w:id="0"/>
      <w:bookmarkEnd w:id="1"/>
      <w:bookmarkEnd w:id="2"/>
      <w:bookmarkEnd w:id="3"/>
      <w:bookmarkEnd w:id="4"/>
      <w:bookmarkEnd w:id="5"/>
      <w:bookmarkEnd w:id="6"/>
      <w:r>
        <w:rPr>
          <w:rFonts w:ascii="方正小标宋_GBK" w:hAnsi="Times New Roman" w:eastAsia="方正小标宋_GBK"/>
          <w:b w:val="0"/>
          <w:bCs w:val="0"/>
          <w:sz w:val="44"/>
          <w:szCs w:val="44"/>
        </w:rPr>
        <w:t>建设</w:t>
      </w:r>
    </w:p>
    <w:p w14:paraId="0813FFD9">
      <w:pPr>
        <w:pStyle w:val="3"/>
        <w:pageBreakBefore w:val="0"/>
        <w:widowControl/>
        <w:kinsoku/>
        <w:wordWrap/>
        <w:overflowPunct/>
        <w:topLinePunct w:val="0"/>
        <w:autoSpaceDE/>
        <w:autoSpaceDN/>
        <w:bidi w:val="0"/>
        <w:adjustRightInd/>
        <w:snapToGrid/>
        <w:spacing w:beforeAutospacing="0" w:afterAutospacing="0" w:line="560" w:lineRule="exact"/>
        <w:jc w:val="center"/>
        <w:rPr>
          <w:rFonts w:ascii="方正小标宋_GBK" w:hAnsi="Times New Roman" w:eastAsia="方正小标宋_GBK"/>
          <w:b w:val="0"/>
          <w:bCs w:val="0"/>
          <w:sz w:val="44"/>
          <w:szCs w:val="44"/>
        </w:rPr>
      </w:pPr>
      <w:bookmarkStart w:id="7" w:name="_Toc25493"/>
      <w:bookmarkStart w:id="8" w:name="_Toc2002"/>
      <w:bookmarkStart w:id="9" w:name="_Toc6312"/>
      <w:bookmarkStart w:id="10" w:name="_Toc1819"/>
      <w:bookmarkStart w:id="11" w:name="_Toc8692"/>
      <w:bookmarkStart w:id="12" w:name="_Toc20001"/>
      <w:bookmarkStart w:id="13" w:name="_Toc15979"/>
      <w:r>
        <w:rPr>
          <w:rFonts w:ascii="方正小标宋_GBK" w:hAnsi="Times New Roman" w:eastAsia="方正小标宋_GBK"/>
          <w:b w:val="0"/>
          <w:bCs w:val="0"/>
          <w:sz w:val="44"/>
          <w:szCs w:val="44"/>
        </w:rPr>
        <w:t>实施方案</w:t>
      </w:r>
      <w:bookmarkEnd w:id="7"/>
      <w:bookmarkEnd w:id="8"/>
      <w:bookmarkEnd w:id="9"/>
      <w:bookmarkEnd w:id="10"/>
      <w:bookmarkEnd w:id="11"/>
      <w:bookmarkEnd w:id="12"/>
      <w:bookmarkEnd w:id="13"/>
    </w:p>
    <w:p w14:paraId="0FAAEC18">
      <w:pPr>
        <w:pStyle w:val="2"/>
        <w:keepNext w:val="0"/>
        <w:keepLines w:val="0"/>
        <w:pageBreakBefore w:val="0"/>
        <w:widowControl w:val="0"/>
        <w:kinsoku/>
        <w:wordWrap/>
        <w:overflowPunct/>
        <w:topLinePunct w:val="0"/>
        <w:autoSpaceDE/>
        <w:autoSpaceDN/>
        <w:bidi w:val="0"/>
        <w:adjustRightInd/>
        <w:snapToGrid/>
        <w:spacing w:before="0" w:beforeLines="0" w:after="0" w:afterLines="0" w:line="560" w:lineRule="exact"/>
        <w:jc w:val="center"/>
        <w:textAlignment w:val="auto"/>
        <w:rPr>
          <w:rFonts w:hint="default"/>
        </w:rPr>
      </w:pPr>
      <w:r>
        <w:rPr>
          <w:rFonts w:hint="default" w:ascii="Times New Roman" w:hAnsi="Times New Roman" w:eastAsia="方正楷体_GBK" w:cs="Times New Roman"/>
          <w:color w:val="auto"/>
          <w:sz w:val="32"/>
          <w:szCs w:val="32"/>
          <w:highlight w:val="none"/>
          <w:u w:val="none"/>
          <w:lang w:eastAsia="zh-CN"/>
        </w:rPr>
        <w:t>（</w:t>
      </w:r>
      <w:r>
        <w:rPr>
          <w:rFonts w:hint="eastAsia" w:ascii="Times New Roman" w:hAnsi="Times New Roman" w:eastAsia="方正楷体_GBK" w:cs="Times New Roman"/>
          <w:color w:val="auto"/>
          <w:sz w:val="32"/>
          <w:szCs w:val="32"/>
          <w:highlight w:val="none"/>
          <w:u w:val="none"/>
          <w:lang w:eastAsia="zh-CN"/>
        </w:rPr>
        <w:t>公开</w:t>
      </w:r>
      <w:r>
        <w:rPr>
          <w:rFonts w:hint="default" w:ascii="Times New Roman" w:hAnsi="Times New Roman" w:eastAsia="方正楷体_GBK" w:cs="Times New Roman"/>
          <w:color w:val="auto"/>
          <w:sz w:val="32"/>
          <w:szCs w:val="32"/>
          <w:highlight w:val="none"/>
          <w:u w:val="none"/>
          <w:lang w:eastAsia="zh-CN"/>
        </w:rPr>
        <w:t>征求意见稿）</w:t>
      </w:r>
    </w:p>
    <w:p w14:paraId="024AD77E">
      <w:pPr>
        <w:pageBreakBefore w:val="0"/>
        <w:kinsoku/>
        <w:wordWrap/>
        <w:overflowPunct/>
        <w:topLinePunct w:val="0"/>
        <w:autoSpaceDE/>
        <w:autoSpaceDN/>
        <w:bidi w:val="0"/>
        <w:adjustRightInd/>
        <w:snapToGrid/>
        <w:spacing w:line="560" w:lineRule="exact"/>
        <w:jc w:val="center"/>
        <w:rPr>
          <w:rFonts w:ascii="仿宋_GB2312"/>
          <w:szCs w:val="32"/>
        </w:rPr>
      </w:pPr>
      <w:bookmarkStart w:id="21" w:name="_GoBack"/>
      <w:bookmarkEnd w:id="21"/>
    </w:p>
    <w:p w14:paraId="0C399DF8">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szCs w:val="32"/>
        </w:rPr>
      </w:pPr>
      <w:r>
        <w:rPr>
          <w:rFonts w:eastAsia="方正仿宋_GB2312" w:cs="Times New Roman"/>
          <w:kern w:val="0"/>
          <w:szCs w:val="32"/>
        </w:rPr>
        <w:t>为进一步加快推进充电基础设施建设，根据《国家发展改革委等部门关于印发&lt;电动汽车充电设施服务能力</w:t>
      </w:r>
      <w:r>
        <w:rPr>
          <w:rFonts w:hint="eastAsia" w:eastAsia="方正仿宋_GB2312" w:cs="Times New Roman"/>
          <w:kern w:val="0"/>
          <w:szCs w:val="32"/>
        </w:rPr>
        <w:t>“</w:t>
      </w:r>
      <w:r>
        <w:rPr>
          <w:rFonts w:eastAsia="方正仿宋_GB2312" w:cs="Times New Roman"/>
          <w:kern w:val="0"/>
          <w:szCs w:val="32"/>
        </w:rPr>
        <w:t>三年倍增</w:t>
      </w:r>
      <w:r>
        <w:rPr>
          <w:rFonts w:hint="eastAsia" w:eastAsia="方正仿宋_GB2312" w:cs="Times New Roman"/>
          <w:kern w:val="0"/>
          <w:szCs w:val="32"/>
        </w:rPr>
        <w:t>”</w:t>
      </w:r>
      <w:r>
        <w:rPr>
          <w:rFonts w:eastAsia="方正仿宋_GB2312" w:cs="Times New Roman"/>
          <w:kern w:val="0"/>
          <w:szCs w:val="32"/>
        </w:rPr>
        <w:t>行动方案（2025-2027年）&gt;的通知》（发改能源规〔2025〕1250号），深入贯彻落实自治区关于新能源汽车产业发展决策部署，加快构建安全高效、布局合理、智能便捷的电动汽车充电基础设施体系，支撑新能源汽车产业高质量发展，满足人民群众日益增长的绿色出行需求，结合大武口区实际，制定本方案</w:t>
      </w:r>
      <w:r>
        <w:rPr>
          <w:rFonts w:hint="eastAsia" w:eastAsia="方正仿宋_GB2312" w:cs="Times New Roman"/>
          <w:kern w:val="0"/>
          <w:szCs w:val="32"/>
        </w:rPr>
        <w:t>。</w:t>
      </w:r>
    </w:p>
    <w:p w14:paraId="196DF87B">
      <w:pPr>
        <w:pStyle w:val="3"/>
        <w:keepNext/>
        <w:keepLines/>
        <w:pageBreakBefore w:val="0"/>
        <w:kinsoku/>
        <w:wordWrap/>
        <w:overflowPunct/>
        <w:topLinePunct w:val="0"/>
        <w:autoSpaceDE/>
        <w:autoSpaceDN/>
        <w:bidi w:val="0"/>
        <w:adjustRightInd/>
        <w:snapToGrid/>
        <w:spacing w:before="100" w:beforeAutospacing="0" w:after="100" w:afterAutospacing="0" w:line="560" w:lineRule="exact"/>
        <w:ind w:firstLine="632" w:firstLineChars="200"/>
        <w:rPr>
          <w:rFonts w:hint="default" w:ascii="Times New Roman" w:hAnsi="Times New Roman" w:eastAsia="黑体"/>
          <w:b w:val="0"/>
          <w:bCs w:val="0"/>
          <w:sz w:val="32"/>
          <w:szCs w:val="32"/>
        </w:rPr>
      </w:pPr>
      <w:bookmarkStart w:id="14" w:name="_Toc19899"/>
      <w:r>
        <w:rPr>
          <w:rFonts w:hint="default" w:ascii="Times New Roman" w:hAnsi="Times New Roman" w:eastAsia="黑体"/>
          <w:b w:val="0"/>
          <w:bCs w:val="0"/>
          <w:sz w:val="32"/>
          <w:szCs w:val="32"/>
        </w:rPr>
        <w:t>一、</w:t>
      </w:r>
      <w:r>
        <w:rPr>
          <w:rFonts w:hint="default" w:ascii="Times New Roman" w:hAnsi="Times New Roman" w:eastAsia="黑体"/>
          <w:b w:val="0"/>
          <w:bCs w:val="0"/>
          <w:color w:val="000000"/>
          <w:kern w:val="2"/>
          <w:sz w:val="32"/>
          <w:szCs w:val="32"/>
          <w14:ligatures w14:val="standardContextual"/>
        </w:rPr>
        <w:t>总体</w:t>
      </w:r>
      <w:r>
        <w:rPr>
          <w:rFonts w:hint="default" w:ascii="Times New Roman" w:hAnsi="Times New Roman" w:eastAsia="黑体"/>
          <w:b w:val="0"/>
          <w:bCs w:val="0"/>
          <w:sz w:val="32"/>
          <w:szCs w:val="32"/>
        </w:rPr>
        <w:t>要求</w:t>
      </w:r>
      <w:bookmarkEnd w:id="14"/>
    </w:p>
    <w:p w14:paraId="2AE258CC">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bookmarkStart w:id="15" w:name="_Toc24768"/>
      <w:r>
        <w:rPr>
          <w:rFonts w:ascii="方正楷体简体" w:hAnsi="方正楷体简体" w:eastAsia="方正楷体简体"/>
          <w:sz w:val="32"/>
          <w:szCs w:val="32"/>
        </w:rPr>
        <w:t>（一）指导思想</w:t>
      </w:r>
      <w:bookmarkEnd w:id="15"/>
    </w:p>
    <w:p w14:paraId="059C6B04">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以习近平新时代中国特色社会主义思想为指导，深入落实党的二十大关于全面建设社会主义现代化强国的战略部署，紧跟二十届历次全会步伐，立足新发展阶段，完整准确全面贯彻新发展理念，服务和融入新发展格局</w:t>
      </w:r>
      <w:r>
        <w:rPr>
          <w:rFonts w:hint="eastAsia" w:eastAsia="方正仿宋_GB2312" w:cs="Times New Roman"/>
          <w:kern w:val="0"/>
          <w:szCs w:val="32"/>
        </w:rPr>
        <w:t>。</w:t>
      </w:r>
      <w:r>
        <w:rPr>
          <w:rFonts w:eastAsia="方正仿宋_GB2312" w:cs="Times New Roman"/>
          <w:kern w:val="0"/>
          <w:szCs w:val="32"/>
        </w:rPr>
        <w:t>以满足电动汽车充电需求为核心，以</w:t>
      </w:r>
      <w:r>
        <w:rPr>
          <w:rFonts w:hint="eastAsia" w:eastAsia="方正仿宋_GB2312" w:cs="Times New Roman"/>
          <w:kern w:val="0"/>
          <w:szCs w:val="32"/>
        </w:rPr>
        <w:t>“</w:t>
      </w:r>
      <w:r>
        <w:rPr>
          <w:rFonts w:eastAsia="方正仿宋_GB2312" w:cs="Times New Roman"/>
          <w:kern w:val="0"/>
          <w:szCs w:val="32"/>
        </w:rPr>
        <w:t>科学布局、智能高效、安全可靠、协同发展</w:t>
      </w:r>
      <w:r>
        <w:rPr>
          <w:rFonts w:hint="eastAsia" w:eastAsia="方正仿宋_GB2312" w:cs="Times New Roman"/>
          <w:kern w:val="0"/>
          <w:szCs w:val="32"/>
        </w:rPr>
        <w:t>”</w:t>
      </w:r>
      <w:r>
        <w:rPr>
          <w:rFonts w:eastAsia="方正仿宋_GB2312" w:cs="Times New Roman"/>
          <w:kern w:val="0"/>
          <w:szCs w:val="32"/>
        </w:rPr>
        <w:t>为原则，统筹推进城乡充电基础设施建设，强化技术创新和运营管理，完善政策保障体系，构建</w:t>
      </w:r>
      <w:r>
        <w:rPr>
          <w:rFonts w:hint="eastAsia" w:eastAsia="方正仿宋_GB2312" w:cs="Times New Roman"/>
          <w:kern w:val="0"/>
          <w:szCs w:val="32"/>
        </w:rPr>
        <w:t>“</w:t>
      </w:r>
      <w:r>
        <w:rPr>
          <w:rFonts w:eastAsia="方正仿宋_GB2312" w:cs="Times New Roman"/>
          <w:kern w:val="0"/>
          <w:szCs w:val="32"/>
        </w:rPr>
        <w:t>车桩相随、智能高效、覆盖广泛、服务优质</w:t>
      </w:r>
      <w:r>
        <w:rPr>
          <w:rFonts w:hint="eastAsia" w:eastAsia="方正仿宋_GB2312" w:cs="Times New Roman"/>
          <w:kern w:val="0"/>
          <w:szCs w:val="32"/>
        </w:rPr>
        <w:t>”</w:t>
      </w:r>
      <w:r>
        <w:rPr>
          <w:rFonts w:eastAsia="方正仿宋_GB2312" w:cs="Times New Roman"/>
          <w:kern w:val="0"/>
          <w:szCs w:val="32"/>
        </w:rPr>
        <w:t>的充电服务网络，为大武口区建设绿色低碳发展先行区提供有力支撑</w:t>
      </w:r>
      <w:r>
        <w:rPr>
          <w:rFonts w:hint="eastAsia" w:eastAsia="方正仿宋_GB2312" w:cs="Times New Roman"/>
          <w:kern w:val="0"/>
          <w:szCs w:val="32"/>
        </w:rPr>
        <w:t>。</w:t>
      </w:r>
    </w:p>
    <w:p w14:paraId="58B23818">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bookmarkStart w:id="16" w:name="_Toc12989"/>
      <w:r>
        <w:rPr>
          <w:rFonts w:ascii="方正楷体简体" w:hAnsi="方正楷体简体" w:eastAsia="方正楷体简体"/>
          <w:sz w:val="32"/>
          <w:szCs w:val="32"/>
        </w:rPr>
        <w:t>（二）发展目标</w:t>
      </w:r>
      <w:bookmarkEnd w:id="16"/>
    </w:p>
    <w:p w14:paraId="481ECC95">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为践行</w:t>
      </w:r>
      <w:r>
        <w:rPr>
          <w:rFonts w:hint="eastAsia" w:eastAsia="方正仿宋_GB2312" w:cs="Times New Roman"/>
          <w:kern w:val="0"/>
          <w:szCs w:val="32"/>
        </w:rPr>
        <w:t>“</w:t>
      </w:r>
      <w:r>
        <w:rPr>
          <w:rFonts w:eastAsia="方正仿宋_GB2312" w:cs="Times New Roman"/>
          <w:kern w:val="0"/>
          <w:szCs w:val="32"/>
        </w:rPr>
        <w:t>双碳</w:t>
      </w:r>
      <w:r>
        <w:rPr>
          <w:rFonts w:hint="eastAsia" w:eastAsia="方正仿宋_GB2312" w:cs="Times New Roman"/>
          <w:kern w:val="0"/>
          <w:szCs w:val="32"/>
        </w:rPr>
        <w:t>”</w:t>
      </w:r>
      <w:r>
        <w:rPr>
          <w:rFonts w:eastAsia="方正仿宋_GB2312" w:cs="Times New Roman"/>
          <w:kern w:val="0"/>
          <w:szCs w:val="32"/>
        </w:rPr>
        <w:t>目标、赋能高质量发展，聚焦网络覆盖、服务效能、产业融合、安全规范四大关键，构建高质量电动汽车充电基础设施体系</w:t>
      </w:r>
      <w:r>
        <w:rPr>
          <w:rFonts w:hint="eastAsia" w:eastAsia="方正仿宋_GB2312" w:cs="Times New Roman"/>
          <w:kern w:val="0"/>
          <w:szCs w:val="32"/>
        </w:rPr>
        <w:t>。</w:t>
      </w:r>
      <w:r>
        <w:rPr>
          <w:rFonts w:eastAsia="方正仿宋_GB2312" w:cs="Times New Roman"/>
          <w:b/>
          <w:bCs/>
          <w:kern w:val="0"/>
          <w:szCs w:val="32"/>
        </w:rPr>
        <w:t>网络覆盖方面，</w:t>
      </w:r>
      <w:r>
        <w:rPr>
          <w:rFonts w:eastAsia="方正仿宋_GB2312" w:cs="Times New Roman"/>
          <w:kern w:val="0"/>
          <w:szCs w:val="32"/>
        </w:rPr>
        <w:t>打造全域均衡布局，中心城区构建便捷服务圈，重点区域实现全覆盖，同步完善新建与老旧小区充电配套，消除乡镇农村及</w:t>
      </w:r>
      <w:r>
        <w:rPr>
          <w:rFonts w:hint="eastAsia" w:eastAsia="方正仿宋_GB2312" w:cs="Times New Roman"/>
          <w:kern w:val="0"/>
          <w:szCs w:val="32"/>
        </w:rPr>
        <w:t>景区</w:t>
      </w:r>
      <w:r>
        <w:rPr>
          <w:rFonts w:eastAsia="方正仿宋_GB2312" w:cs="Times New Roman"/>
          <w:kern w:val="0"/>
          <w:szCs w:val="32"/>
        </w:rPr>
        <w:t>服务盲区</w:t>
      </w:r>
      <w:r>
        <w:rPr>
          <w:rFonts w:hint="eastAsia" w:eastAsia="方正仿宋_GB2312" w:cs="Times New Roman"/>
          <w:kern w:val="0"/>
          <w:szCs w:val="32"/>
        </w:rPr>
        <w:t>。</w:t>
      </w:r>
      <w:r>
        <w:rPr>
          <w:rFonts w:eastAsia="方正仿宋_GB2312" w:cs="Times New Roman"/>
          <w:b/>
          <w:bCs/>
          <w:kern w:val="0"/>
          <w:szCs w:val="32"/>
        </w:rPr>
        <w:t>服务效能方面，</w:t>
      </w:r>
      <w:r>
        <w:rPr>
          <w:rFonts w:eastAsia="方正仿宋_GB2312" w:cs="Times New Roman"/>
          <w:kern w:val="0"/>
          <w:szCs w:val="32"/>
        </w:rPr>
        <w:t>深化提质增效，提升设施使用效率与高峰保障能力，建成统一智慧监管平台实现全流程数字化，依托区域风光资源推广</w:t>
      </w:r>
      <w:r>
        <w:rPr>
          <w:rFonts w:hint="eastAsia" w:eastAsia="方正仿宋_GB2312" w:cs="Times New Roman"/>
          <w:kern w:val="0"/>
          <w:szCs w:val="32"/>
        </w:rPr>
        <w:t>“</w:t>
      </w:r>
      <w:r>
        <w:rPr>
          <w:rFonts w:eastAsia="方正仿宋_GB2312" w:cs="Times New Roman"/>
          <w:kern w:val="0"/>
          <w:szCs w:val="32"/>
        </w:rPr>
        <w:t>光储充一体化</w:t>
      </w:r>
      <w:r>
        <w:rPr>
          <w:rFonts w:hint="eastAsia" w:eastAsia="方正仿宋_GB2312" w:cs="Times New Roman"/>
          <w:kern w:val="0"/>
          <w:szCs w:val="32"/>
        </w:rPr>
        <w:t>”</w:t>
      </w:r>
      <w:r>
        <w:rPr>
          <w:rFonts w:eastAsia="方正仿宋_GB2312" w:cs="Times New Roman"/>
          <w:kern w:val="0"/>
          <w:szCs w:val="32"/>
        </w:rPr>
        <w:t>模式，规范收费机制强化民生保障</w:t>
      </w:r>
      <w:r>
        <w:rPr>
          <w:rFonts w:hint="eastAsia" w:eastAsia="方正仿宋_GB2312" w:cs="Times New Roman"/>
          <w:kern w:val="0"/>
          <w:szCs w:val="32"/>
        </w:rPr>
        <w:t>。</w:t>
      </w:r>
      <w:r>
        <w:rPr>
          <w:rFonts w:eastAsia="方正仿宋_GB2312" w:cs="Times New Roman"/>
          <w:b/>
          <w:bCs/>
          <w:kern w:val="0"/>
          <w:szCs w:val="32"/>
        </w:rPr>
        <w:t>产业融合方面，</w:t>
      </w:r>
      <w:r>
        <w:rPr>
          <w:rFonts w:eastAsia="方正仿宋_GB2312" w:cs="Times New Roman"/>
          <w:kern w:val="0"/>
          <w:szCs w:val="32"/>
        </w:rPr>
        <w:t>培育</w:t>
      </w:r>
      <w:r>
        <w:rPr>
          <w:rFonts w:hint="eastAsia" w:eastAsia="方正仿宋_GB2312" w:cs="Times New Roman"/>
          <w:kern w:val="0"/>
          <w:szCs w:val="32"/>
        </w:rPr>
        <w:t>“</w:t>
      </w:r>
      <w:r>
        <w:rPr>
          <w:rFonts w:eastAsia="方正仿宋_GB2312" w:cs="Times New Roman"/>
          <w:kern w:val="0"/>
          <w:szCs w:val="32"/>
        </w:rPr>
        <w:t>国企主导、民企参与</w:t>
      </w:r>
      <w:r>
        <w:rPr>
          <w:rFonts w:hint="eastAsia" w:eastAsia="方正仿宋_GB2312" w:cs="Times New Roman"/>
          <w:kern w:val="0"/>
          <w:szCs w:val="32"/>
        </w:rPr>
        <w:t>”</w:t>
      </w:r>
      <w:r>
        <w:rPr>
          <w:rFonts w:eastAsia="方正仿宋_GB2312" w:cs="Times New Roman"/>
          <w:kern w:val="0"/>
          <w:szCs w:val="32"/>
        </w:rPr>
        <w:t>格局，带动配套产业集群发展助力工业转型，推动领域新能源汽车普及，引导私人绿色消费</w:t>
      </w:r>
      <w:r>
        <w:rPr>
          <w:rFonts w:hint="eastAsia" w:eastAsia="方正仿宋_GB2312" w:cs="Times New Roman"/>
          <w:kern w:val="0"/>
          <w:szCs w:val="32"/>
        </w:rPr>
        <w:t>。</w:t>
      </w:r>
      <w:r>
        <w:rPr>
          <w:rFonts w:eastAsia="方正仿宋_GB2312" w:cs="Times New Roman"/>
          <w:b/>
          <w:bCs/>
          <w:kern w:val="0"/>
          <w:szCs w:val="32"/>
        </w:rPr>
        <w:t>安全规范方面，</w:t>
      </w:r>
      <w:r>
        <w:rPr>
          <w:rFonts w:eastAsia="方正仿宋_GB2312" w:cs="Times New Roman"/>
          <w:kern w:val="0"/>
          <w:szCs w:val="32"/>
        </w:rPr>
        <w:t>严守安全底线，严格执行国家规范保障设施质量，建立全生命周期监管与隐患排查机制，构建多部门联动应急体系，完善信用监管制度</w:t>
      </w:r>
      <w:r>
        <w:rPr>
          <w:rFonts w:hint="eastAsia" w:eastAsia="方正仿宋_GB2312" w:cs="Times New Roman"/>
          <w:kern w:val="0"/>
          <w:szCs w:val="32"/>
        </w:rPr>
        <w:t>。</w:t>
      </w:r>
    </w:p>
    <w:p w14:paraId="609B3E21">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至</w:t>
      </w:r>
      <w:r>
        <w:rPr>
          <w:rFonts w:eastAsia="方正仿宋_GB2312" w:cs="Times New Roman"/>
          <w:kern w:val="0"/>
          <w:szCs w:val="32"/>
        </w:rPr>
        <w:t>2028年底，建成与新能源汽车保有量相匹配、与城乡发展相适应的充电基础设施体系，实现</w:t>
      </w:r>
      <w:r>
        <w:rPr>
          <w:rFonts w:hint="eastAsia" w:eastAsia="方正仿宋_GB2312" w:cs="Times New Roman"/>
          <w:kern w:val="0"/>
          <w:szCs w:val="32"/>
        </w:rPr>
        <w:t>“</w:t>
      </w:r>
      <w:r>
        <w:rPr>
          <w:rFonts w:eastAsia="方正仿宋_GB2312" w:cs="Times New Roman"/>
          <w:kern w:val="0"/>
          <w:szCs w:val="32"/>
        </w:rPr>
        <w:t>三个提升</w:t>
      </w:r>
      <w:r>
        <w:rPr>
          <w:rFonts w:hint="eastAsia" w:eastAsia="方正仿宋_GB2312" w:cs="Times New Roman"/>
          <w:kern w:val="0"/>
          <w:szCs w:val="32"/>
        </w:rPr>
        <w:t>”。</w:t>
      </w:r>
    </w:p>
    <w:p w14:paraId="3EAB5533">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b/>
          <w:bCs/>
          <w:kern w:val="0"/>
          <w:szCs w:val="32"/>
        </w:rPr>
        <w:t>网络覆盖全面提升</w:t>
      </w:r>
      <w:r>
        <w:rPr>
          <w:rFonts w:hint="eastAsia" w:eastAsia="方正仿宋_GB2312" w:cs="Times New Roman"/>
          <w:b/>
          <w:bCs/>
          <w:kern w:val="0"/>
          <w:szCs w:val="32"/>
        </w:rPr>
        <w:t>。</w:t>
      </w:r>
      <w:r>
        <w:rPr>
          <w:rFonts w:eastAsia="方正仿宋_GB2312" w:cs="Times New Roman"/>
          <w:kern w:val="0"/>
          <w:szCs w:val="32"/>
        </w:rPr>
        <w:t>实现居民区充电设施</w:t>
      </w:r>
      <w:r>
        <w:rPr>
          <w:rFonts w:hint="eastAsia" w:eastAsia="方正仿宋_GB2312" w:cs="Times New Roman"/>
          <w:kern w:val="0"/>
          <w:szCs w:val="32"/>
        </w:rPr>
        <w:t>“</w:t>
      </w:r>
      <w:r>
        <w:rPr>
          <w:rFonts w:eastAsia="方正仿宋_GB2312" w:cs="Times New Roman"/>
          <w:kern w:val="0"/>
          <w:szCs w:val="32"/>
        </w:rPr>
        <w:t>应装尽装</w:t>
      </w:r>
      <w:r>
        <w:rPr>
          <w:rFonts w:hint="eastAsia" w:eastAsia="方正仿宋_GB2312" w:cs="Times New Roman"/>
          <w:kern w:val="0"/>
          <w:szCs w:val="32"/>
        </w:rPr>
        <w:t>”</w:t>
      </w:r>
      <w:r>
        <w:rPr>
          <w:rFonts w:eastAsia="方正仿宋_GB2312" w:cs="Times New Roman"/>
          <w:kern w:val="0"/>
          <w:szCs w:val="32"/>
        </w:rPr>
        <w:t>，公共服务场所充电设施全覆盖，物流集散地等重点区域充电设施高密度覆盖，农村地区充电设施</w:t>
      </w:r>
      <w:r>
        <w:rPr>
          <w:rFonts w:hint="eastAsia" w:eastAsia="方正仿宋_GB2312" w:cs="Times New Roman"/>
          <w:kern w:val="0"/>
          <w:szCs w:val="32"/>
        </w:rPr>
        <w:t>“</w:t>
      </w:r>
      <w:r>
        <w:rPr>
          <w:rFonts w:eastAsia="方正仿宋_GB2312" w:cs="Times New Roman"/>
          <w:kern w:val="0"/>
          <w:szCs w:val="32"/>
        </w:rPr>
        <w:t>村村全覆盖</w:t>
      </w:r>
      <w:r>
        <w:rPr>
          <w:rFonts w:hint="eastAsia" w:eastAsia="方正仿宋_GB2312" w:cs="Times New Roman"/>
          <w:kern w:val="0"/>
          <w:szCs w:val="32"/>
        </w:rPr>
        <w:t>”。</w:t>
      </w:r>
      <w:r>
        <w:rPr>
          <w:rFonts w:eastAsia="方正仿宋_GB2312" w:cs="Times New Roman"/>
          <w:kern w:val="0"/>
          <w:szCs w:val="32"/>
        </w:rPr>
        <w:t>全区各类充电桩</w:t>
      </w:r>
      <w:r>
        <w:rPr>
          <w:rFonts w:hint="eastAsia" w:eastAsia="方正仿宋_GB2312" w:cs="Times New Roman"/>
          <w:kern w:val="0"/>
          <w:szCs w:val="32"/>
        </w:rPr>
        <w:t>不少于3000台</w:t>
      </w:r>
      <w:r>
        <w:rPr>
          <w:rFonts w:eastAsia="方正仿宋_GB2312" w:cs="Times New Roman"/>
          <w:kern w:val="0"/>
          <w:szCs w:val="32"/>
        </w:rPr>
        <w:t>，形成</w:t>
      </w:r>
      <w:r>
        <w:rPr>
          <w:rFonts w:hint="eastAsia" w:eastAsia="方正仿宋_GB2312" w:cs="Times New Roman"/>
          <w:kern w:val="0"/>
          <w:szCs w:val="32"/>
        </w:rPr>
        <w:t>“3</w:t>
      </w:r>
      <w:r>
        <w:rPr>
          <w:rFonts w:eastAsia="方正仿宋_GB2312" w:cs="Times New Roman"/>
          <w:kern w:val="0"/>
          <w:szCs w:val="32"/>
        </w:rPr>
        <w:t>公里充电</w:t>
      </w:r>
      <w:r>
        <w:rPr>
          <w:rFonts w:hint="eastAsia" w:eastAsia="方正仿宋_GB2312" w:cs="Times New Roman"/>
          <w:kern w:val="0"/>
          <w:szCs w:val="32"/>
        </w:rPr>
        <w:t>服务</w:t>
      </w:r>
      <w:r>
        <w:rPr>
          <w:rFonts w:eastAsia="方正仿宋_GB2312" w:cs="Times New Roman"/>
          <w:kern w:val="0"/>
          <w:szCs w:val="32"/>
        </w:rPr>
        <w:t>圈</w:t>
      </w:r>
      <w:r>
        <w:rPr>
          <w:rFonts w:hint="eastAsia" w:eastAsia="方正仿宋_GB2312" w:cs="Times New Roman"/>
          <w:kern w:val="0"/>
          <w:szCs w:val="32"/>
        </w:rPr>
        <w:t>”。</w:t>
      </w:r>
    </w:p>
    <w:p w14:paraId="4DF05DDE">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b/>
          <w:bCs/>
          <w:kern w:val="0"/>
          <w:szCs w:val="32"/>
        </w:rPr>
        <w:t>服务能力显著提升</w:t>
      </w:r>
      <w:r>
        <w:rPr>
          <w:rFonts w:hint="eastAsia" w:eastAsia="方正仿宋_GB2312" w:cs="Times New Roman"/>
          <w:b/>
          <w:bCs/>
          <w:kern w:val="0"/>
          <w:szCs w:val="32"/>
        </w:rPr>
        <w:t>。</w:t>
      </w:r>
      <w:r>
        <w:rPr>
          <w:rFonts w:eastAsia="方正仿宋_GB2312" w:cs="Times New Roman"/>
          <w:kern w:val="0"/>
          <w:szCs w:val="32"/>
        </w:rPr>
        <w:t>充电设施智能化水平大幅提高，</w:t>
      </w:r>
      <w:r>
        <w:rPr>
          <w:rFonts w:hint="eastAsia" w:eastAsia="方正仿宋_GB2312" w:cs="Times New Roman"/>
          <w:kern w:val="0"/>
          <w:szCs w:val="32"/>
        </w:rPr>
        <w:t>优化设施功能结构，推进快慢充互补布局与老旧设备升级，提升运营智能化水平与服务规范性，显著改善充电便捷度。</w:t>
      </w:r>
    </w:p>
    <w:p w14:paraId="194DED69">
      <w:pPr>
        <w:pageBreakBefore w:val="0"/>
        <w:widowControl/>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b/>
          <w:bCs/>
          <w:kern w:val="0"/>
          <w:szCs w:val="32"/>
        </w:rPr>
        <w:t>产业协同深度提升</w:t>
      </w:r>
      <w:r>
        <w:rPr>
          <w:rFonts w:hint="eastAsia" w:eastAsia="方正仿宋_GB2312" w:cs="Times New Roman"/>
          <w:b/>
          <w:bCs/>
          <w:kern w:val="0"/>
          <w:szCs w:val="32"/>
        </w:rPr>
        <w:t>。</w:t>
      </w:r>
      <w:r>
        <w:rPr>
          <w:rFonts w:eastAsia="方正仿宋_GB2312" w:cs="Times New Roman"/>
          <w:kern w:val="0"/>
          <w:szCs w:val="32"/>
        </w:rPr>
        <w:t>培育</w:t>
      </w:r>
      <w:r>
        <w:rPr>
          <w:rFonts w:hint="eastAsia" w:eastAsia="方正仿宋_GB2312" w:cs="Times New Roman"/>
          <w:kern w:val="0"/>
          <w:szCs w:val="32"/>
        </w:rPr>
        <w:t>、引进</w:t>
      </w:r>
      <w:r>
        <w:rPr>
          <w:rFonts w:eastAsia="方正仿宋_GB2312" w:cs="Times New Roman"/>
          <w:kern w:val="0"/>
          <w:szCs w:val="32"/>
        </w:rPr>
        <w:t>2-3家具备区域影响力的充电服务企业，推动充电基础设施与新能源汽车、可再生能源产业协同发展</w:t>
      </w:r>
      <w:r>
        <w:rPr>
          <w:rFonts w:hint="eastAsia" w:eastAsia="方正仿宋_GB2312" w:cs="Times New Roman"/>
          <w:kern w:val="0"/>
          <w:szCs w:val="32"/>
        </w:rPr>
        <w:t>。</w:t>
      </w:r>
    </w:p>
    <w:p w14:paraId="5D998DDD">
      <w:pPr>
        <w:pStyle w:val="7"/>
        <w:pageBreakBefore w:val="0"/>
        <w:kinsoku/>
        <w:wordWrap/>
        <w:overflowPunct/>
        <w:topLinePunct w:val="0"/>
        <w:autoSpaceDE/>
        <w:autoSpaceDN/>
        <w:bidi w:val="0"/>
        <w:adjustRightInd/>
        <w:snapToGrid/>
        <w:spacing w:line="560" w:lineRule="exact"/>
        <w:jc w:val="center"/>
        <w:rPr>
          <w:rFonts w:ascii="Times New Roman" w:hAnsi="Times New Roman" w:cs="Times New Roman"/>
          <w:sz w:val="28"/>
          <w:szCs w:val="28"/>
        </w:rPr>
      </w:pPr>
      <w:r>
        <w:rPr>
          <w:rFonts w:ascii="Times New Roman" w:hAnsi="Times New Roman" w:cs="Times New Roman"/>
          <w:sz w:val="28"/>
          <w:szCs w:val="28"/>
        </w:rPr>
        <w:t>表</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SEQ 表 \* ARABIC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hint="eastAsia" w:ascii="Times New Roman" w:hAnsi="Times New Roman" w:cs="Times New Roman"/>
          <w:sz w:val="28"/>
          <w:szCs w:val="28"/>
        </w:rPr>
        <w:t xml:space="preserve"> </w:t>
      </w:r>
      <w:r>
        <w:rPr>
          <w:rFonts w:ascii="Times New Roman" w:hAnsi="Times New Roman" w:cs="Times New Roman"/>
          <w:sz w:val="28"/>
          <w:szCs w:val="28"/>
        </w:rPr>
        <w:t>绩效目标表</w:t>
      </w:r>
    </w:p>
    <w:tbl>
      <w:tblPr>
        <w:tblStyle w:val="12"/>
        <w:tblW w:w="5000" w:type="pct"/>
        <w:tblInd w:w="0" w:type="dxa"/>
        <w:tblLayout w:type="autofit"/>
        <w:tblCellMar>
          <w:top w:w="0" w:type="dxa"/>
          <w:left w:w="108" w:type="dxa"/>
          <w:bottom w:w="0" w:type="dxa"/>
          <w:right w:w="108" w:type="dxa"/>
        </w:tblCellMar>
      </w:tblPr>
      <w:tblGrid>
        <w:gridCol w:w="3610"/>
        <w:gridCol w:w="5450"/>
      </w:tblGrid>
      <w:tr w14:paraId="12D40CE7">
        <w:tblPrEx>
          <w:tblCellMar>
            <w:top w:w="0" w:type="dxa"/>
            <w:left w:w="108" w:type="dxa"/>
            <w:bottom w:w="0" w:type="dxa"/>
            <w:right w:w="108" w:type="dxa"/>
          </w:tblCellMar>
        </w:tblPrEx>
        <w:trPr>
          <w:trHeight w:val="270" w:hRule="atLeast"/>
          <w:tblHeader/>
        </w:trPr>
        <w:tc>
          <w:tcPr>
            <w:tcW w:w="1992" w:type="pct"/>
            <w:tcBorders>
              <w:top w:val="single" w:color="000000" w:sz="4" w:space="0"/>
              <w:left w:val="single" w:color="000000" w:sz="4" w:space="0"/>
              <w:bottom w:val="single" w:color="000000" w:sz="4" w:space="0"/>
              <w:right w:val="single" w:color="000000" w:sz="4" w:space="0"/>
            </w:tcBorders>
            <w:vAlign w:val="center"/>
          </w:tcPr>
          <w:p w14:paraId="66E44461">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b/>
                <w:bCs/>
                <w:color w:val="000000"/>
                <w:sz w:val="21"/>
                <w:szCs w:val="21"/>
              </w:rPr>
            </w:pPr>
            <w:r>
              <w:rPr>
                <w:rFonts w:hint="eastAsia" w:ascii="方正仿宋_GB2312" w:hAnsi="方正仿宋_GB2312" w:eastAsia="方正仿宋_GB2312" w:cs="Times New Roman"/>
                <w:b/>
                <w:bCs/>
                <w:color w:val="000000"/>
                <w:kern w:val="0"/>
                <w:sz w:val="21"/>
                <w:szCs w:val="21"/>
              </w:rPr>
              <w:t>具体指标</w:t>
            </w:r>
          </w:p>
        </w:tc>
        <w:tc>
          <w:tcPr>
            <w:tcW w:w="3008" w:type="pct"/>
            <w:tcBorders>
              <w:top w:val="single" w:color="000000" w:sz="4" w:space="0"/>
              <w:left w:val="single" w:color="000000" w:sz="4" w:space="0"/>
              <w:bottom w:val="single" w:color="000000" w:sz="4" w:space="0"/>
              <w:right w:val="single" w:color="000000" w:sz="4" w:space="0"/>
            </w:tcBorders>
            <w:vAlign w:val="center"/>
          </w:tcPr>
          <w:p w14:paraId="5E20290F">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b/>
                <w:bCs/>
                <w:color w:val="000000"/>
                <w:sz w:val="21"/>
                <w:szCs w:val="21"/>
              </w:rPr>
            </w:pPr>
            <w:r>
              <w:rPr>
                <w:rFonts w:eastAsia="方正仿宋_GB2312" w:cs="Times New Roman"/>
                <w:b/>
                <w:bCs/>
                <w:color w:val="000000"/>
                <w:kern w:val="0"/>
                <w:sz w:val="21"/>
                <w:szCs w:val="21"/>
              </w:rPr>
              <w:t>2028</w:t>
            </w:r>
            <w:r>
              <w:rPr>
                <w:rFonts w:hint="eastAsia" w:ascii="方正仿宋_GB2312" w:hAnsi="方正仿宋_GB2312" w:eastAsia="方正仿宋_GB2312" w:cs="Times New Roman"/>
                <w:b/>
                <w:bCs/>
                <w:color w:val="000000"/>
                <w:kern w:val="0"/>
                <w:sz w:val="21"/>
                <w:szCs w:val="21"/>
              </w:rPr>
              <w:t>年目标值</w:t>
            </w:r>
          </w:p>
        </w:tc>
      </w:tr>
      <w:tr w14:paraId="651A1A95">
        <w:tblPrEx>
          <w:tblCellMar>
            <w:top w:w="0" w:type="dxa"/>
            <w:left w:w="108" w:type="dxa"/>
            <w:bottom w:w="0" w:type="dxa"/>
            <w:right w:w="108" w:type="dxa"/>
          </w:tblCellMar>
        </w:tblPrEx>
        <w:trPr>
          <w:trHeight w:val="270" w:hRule="atLeast"/>
        </w:trPr>
        <w:tc>
          <w:tcPr>
            <w:tcW w:w="1992" w:type="pct"/>
            <w:tcBorders>
              <w:top w:val="single" w:color="000000" w:sz="4" w:space="0"/>
              <w:left w:val="single" w:color="000000" w:sz="4" w:space="0"/>
              <w:bottom w:val="single" w:color="000000" w:sz="4" w:space="0"/>
              <w:right w:val="single" w:color="000000" w:sz="4" w:space="0"/>
            </w:tcBorders>
            <w:vAlign w:val="center"/>
          </w:tcPr>
          <w:p w14:paraId="6BFFB555">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sz w:val="21"/>
                <w:szCs w:val="21"/>
              </w:rPr>
            </w:pPr>
            <w:r>
              <w:rPr>
                <w:rFonts w:hint="eastAsia" w:ascii="方正仿宋_GB2312" w:hAnsi="方正仿宋_GB2312" w:eastAsia="方正仿宋_GB2312" w:cs="Times New Roman"/>
                <w:color w:val="000000"/>
                <w:kern w:val="0"/>
                <w:sz w:val="21"/>
                <w:szCs w:val="21"/>
              </w:rPr>
              <w:t>累计充电桩数量</w:t>
            </w:r>
          </w:p>
        </w:tc>
        <w:tc>
          <w:tcPr>
            <w:tcW w:w="3008" w:type="pct"/>
            <w:tcBorders>
              <w:top w:val="single" w:color="000000" w:sz="4" w:space="0"/>
              <w:left w:val="single" w:color="000000" w:sz="4" w:space="0"/>
              <w:bottom w:val="single" w:color="000000" w:sz="4" w:space="0"/>
              <w:right w:val="single" w:color="000000" w:sz="4" w:space="0"/>
            </w:tcBorders>
            <w:vAlign w:val="center"/>
          </w:tcPr>
          <w:p w14:paraId="4BDC7FA8">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sz w:val="21"/>
                <w:szCs w:val="21"/>
              </w:rPr>
            </w:pPr>
            <w:r>
              <w:rPr>
                <w:rFonts w:hint="eastAsia" w:ascii="方正仿宋_GB2312" w:hAnsi="方正仿宋_GB2312" w:eastAsia="方正仿宋_GB2312" w:cs="Times New Roman"/>
                <w:color w:val="000000"/>
                <w:kern w:val="0"/>
                <w:sz w:val="21"/>
                <w:szCs w:val="21"/>
              </w:rPr>
              <w:t>突破</w:t>
            </w:r>
            <w:r>
              <w:rPr>
                <w:rFonts w:eastAsia="方正仿宋_GB2312" w:cs="Times New Roman"/>
                <w:color w:val="000000"/>
                <w:kern w:val="0"/>
                <w:sz w:val="21"/>
                <w:szCs w:val="21"/>
              </w:rPr>
              <w:t>3000</w:t>
            </w:r>
            <w:r>
              <w:rPr>
                <w:rFonts w:hint="eastAsia" w:ascii="方正仿宋_GB2312" w:hAnsi="方正仿宋_GB2312" w:eastAsia="方正仿宋_GB2312" w:cs="Times New Roman"/>
                <w:color w:val="000000"/>
                <w:kern w:val="0"/>
                <w:sz w:val="21"/>
                <w:szCs w:val="21"/>
              </w:rPr>
              <w:t>台</w:t>
            </w:r>
          </w:p>
        </w:tc>
      </w:tr>
      <w:tr w14:paraId="16635B98">
        <w:tblPrEx>
          <w:tblCellMar>
            <w:top w:w="0" w:type="dxa"/>
            <w:left w:w="108" w:type="dxa"/>
            <w:bottom w:w="0" w:type="dxa"/>
            <w:right w:w="108" w:type="dxa"/>
          </w:tblCellMar>
        </w:tblPrEx>
        <w:trPr>
          <w:trHeight w:val="270" w:hRule="atLeast"/>
        </w:trPr>
        <w:tc>
          <w:tcPr>
            <w:tcW w:w="1992" w:type="pct"/>
            <w:tcBorders>
              <w:top w:val="single" w:color="000000" w:sz="4" w:space="0"/>
              <w:left w:val="single" w:color="000000" w:sz="4" w:space="0"/>
              <w:bottom w:val="single" w:color="000000" w:sz="4" w:space="0"/>
              <w:right w:val="single" w:color="000000" w:sz="4" w:space="0"/>
            </w:tcBorders>
            <w:vAlign w:val="center"/>
          </w:tcPr>
          <w:p w14:paraId="357ABC11">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sz w:val="21"/>
                <w:szCs w:val="21"/>
              </w:rPr>
            </w:pPr>
            <w:r>
              <w:rPr>
                <w:rFonts w:hint="eastAsia" w:ascii="方正仿宋_GB2312" w:hAnsi="方正仿宋_GB2312" w:eastAsia="方正仿宋_GB2312" w:cs="Times New Roman"/>
                <w:color w:val="000000"/>
                <w:kern w:val="0"/>
                <w:sz w:val="21"/>
                <w:szCs w:val="21"/>
              </w:rPr>
              <w:t>充电服务圈</w:t>
            </w:r>
          </w:p>
        </w:tc>
        <w:tc>
          <w:tcPr>
            <w:tcW w:w="3008" w:type="pct"/>
            <w:tcBorders>
              <w:top w:val="single" w:color="000000" w:sz="4" w:space="0"/>
              <w:left w:val="single" w:color="000000" w:sz="4" w:space="0"/>
              <w:bottom w:val="single" w:color="000000" w:sz="4" w:space="0"/>
              <w:right w:val="single" w:color="000000" w:sz="4" w:space="0"/>
            </w:tcBorders>
            <w:vAlign w:val="center"/>
          </w:tcPr>
          <w:p w14:paraId="408DAE45">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sz w:val="21"/>
                <w:szCs w:val="21"/>
              </w:rPr>
            </w:pPr>
            <w:r>
              <w:rPr>
                <w:rFonts w:eastAsia="方正仿宋_GB2312" w:cs="Times New Roman"/>
                <w:color w:val="000000"/>
                <w:kern w:val="0"/>
                <w:sz w:val="21"/>
                <w:szCs w:val="21"/>
              </w:rPr>
              <w:t>3</w:t>
            </w:r>
            <w:r>
              <w:rPr>
                <w:rFonts w:hint="eastAsia" w:ascii="方正仿宋_GB2312" w:hAnsi="方正仿宋_GB2312" w:eastAsia="方正仿宋_GB2312" w:cs="Times New Roman"/>
                <w:color w:val="000000"/>
                <w:kern w:val="0"/>
                <w:sz w:val="21"/>
                <w:szCs w:val="21"/>
              </w:rPr>
              <w:t>公里充电服务圈</w:t>
            </w:r>
          </w:p>
        </w:tc>
      </w:tr>
      <w:tr w14:paraId="0E096121">
        <w:trPr>
          <w:trHeight w:val="270" w:hRule="atLeast"/>
        </w:trPr>
        <w:tc>
          <w:tcPr>
            <w:tcW w:w="1992" w:type="pct"/>
            <w:tcBorders>
              <w:top w:val="single" w:color="000000" w:sz="4" w:space="0"/>
              <w:left w:val="single" w:color="000000" w:sz="4" w:space="0"/>
              <w:bottom w:val="single" w:color="000000" w:sz="4" w:space="0"/>
              <w:right w:val="single" w:color="000000" w:sz="4" w:space="0"/>
            </w:tcBorders>
            <w:vAlign w:val="center"/>
          </w:tcPr>
          <w:p w14:paraId="7CBD977A">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kern w:val="0"/>
                <w:sz w:val="21"/>
                <w:szCs w:val="21"/>
              </w:rPr>
            </w:pPr>
            <w:r>
              <w:rPr>
                <w:rFonts w:hint="eastAsia" w:ascii="方正仿宋_GB2312" w:hAnsi="方正仿宋_GB2312" w:eastAsia="方正仿宋_GB2312" w:cs="Times New Roman"/>
                <w:color w:val="000000"/>
                <w:kern w:val="0"/>
                <w:sz w:val="21"/>
                <w:szCs w:val="21"/>
              </w:rPr>
              <w:t>住宅停车位配建/预留</w:t>
            </w:r>
          </w:p>
        </w:tc>
        <w:tc>
          <w:tcPr>
            <w:tcW w:w="3008" w:type="pct"/>
            <w:tcBorders>
              <w:top w:val="single" w:color="000000" w:sz="4" w:space="0"/>
              <w:left w:val="single" w:color="000000" w:sz="4" w:space="0"/>
              <w:bottom w:val="single" w:color="000000" w:sz="4" w:space="0"/>
              <w:right w:val="single" w:color="000000" w:sz="4" w:space="0"/>
            </w:tcBorders>
            <w:vAlign w:val="center"/>
          </w:tcPr>
          <w:p w14:paraId="10692B8B">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kern w:val="0"/>
                <w:sz w:val="21"/>
                <w:szCs w:val="21"/>
              </w:rPr>
            </w:pPr>
            <w:r>
              <w:rPr>
                <w:rFonts w:hint="eastAsia" w:ascii="方正仿宋_GB2312" w:hAnsi="方正仿宋_GB2312" w:eastAsia="方正仿宋_GB2312" w:cs="Times New Roman"/>
                <w:color w:val="000000"/>
                <w:kern w:val="0"/>
                <w:sz w:val="21"/>
                <w:szCs w:val="21"/>
              </w:rPr>
              <w:t>新建配建率超</w:t>
            </w:r>
            <w:r>
              <w:rPr>
                <w:rFonts w:eastAsia="方正仿宋_GB2312" w:cs="Times New Roman"/>
                <w:color w:val="000000"/>
                <w:kern w:val="0"/>
                <w:sz w:val="21"/>
                <w:szCs w:val="21"/>
              </w:rPr>
              <w:t>10%</w:t>
            </w:r>
            <w:r>
              <w:rPr>
                <w:rFonts w:hint="eastAsia" w:ascii="方正仿宋_GB2312" w:hAnsi="方正仿宋_GB2312" w:eastAsia="方正仿宋_GB2312" w:cs="Times New Roman"/>
                <w:color w:val="000000"/>
                <w:kern w:val="0"/>
                <w:sz w:val="21"/>
                <w:szCs w:val="21"/>
              </w:rPr>
              <w:t>，其余全预留；</w:t>
            </w:r>
          </w:p>
          <w:p w14:paraId="2DB82FAA">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kern w:val="0"/>
                <w:sz w:val="21"/>
                <w:szCs w:val="21"/>
              </w:rPr>
            </w:pPr>
            <w:r>
              <w:rPr>
                <w:rFonts w:hint="eastAsia" w:ascii="方正仿宋_GB2312" w:hAnsi="方正仿宋_GB2312" w:eastAsia="方正仿宋_GB2312" w:cs="Times New Roman"/>
                <w:color w:val="000000"/>
                <w:kern w:val="0"/>
                <w:sz w:val="21"/>
                <w:szCs w:val="21"/>
              </w:rPr>
              <w:t>老旧小区同步配套</w:t>
            </w:r>
          </w:p>
        </w:tc>
      </w:tr>
      <w:tr w14:paraId="3FDBE5C9">
        <w:tblPrEx>
          <w:tblCellMar>
            <w:top w:w="0" w:type="dxa"/>
            <w:left w:w="108" w:type="dxa"/>
            <w:bottom w:w="0" w:type="dxa"/>
            <w:right w:w="108" w:type="dxa"/>
          </w:tblCellMar>
        </w:tblPrEx>
        <w:trPr>
          <w:trHeight w:val="270" w:hRule="atLeast"/>
        </w:trPr>
        <w:tc>
          <w:tcPr>
            <w:tcW w:w="1992" w:type="pct"/>
            <w:tcBorders>
              <w:top w:val="single" w:color="000000" w:sz="4" w:space="0"/>
              <w:left w:val="single" w:color="000000" w:sz="4" w:space="0"/>
              <w:bottom w:val="single" w:color="000000" w:sz="4" w:space="0"/>
              <w:right w:val="single" w:color="000000" w:sz="4" w:space="0"/>
            </w:tcBorders>
            <w:vAlign w:val="center"/>
          </w:tcPr>
          <w:p w14:paraId="18DFF6B3">
            <w:pPr>
              <w:pageBreakBefore w:val="0"/>
              <w:widowControl/>
              <w:kinsoku/>
              <w:wordWrap/>
              <w:overflowPunct/>
              <w:topLinePunct w:val="0"/>
              <w:autoSpaceDE/>
              <w:autoSpaceDN/>
              <w:bidi w:val="0"/>
              <w:adjustRightInd/>
              <w:snapToGrid/>
              <w:spacing w:line="560" w:lineRule="exact"/>
              <w:jc w:val="center"/>
              <w:textAlignment w:val="center"/>
              <w:rPr>
                <w:rFonts w:hint="eastAsia" w:ascii="方正仿宋_GB2312" w:hAnsi="方正仿宋_GB2312" w:eastAsia="方正仿宋_GB2312" w:cs="Times New Roman"/>
                <w:color w:val="000000"/>
                <w:sz w:val="21"/>
                <w:szCs w:val="21"/>
              </w:rPr>
            </w:pPr>
            <w:r>
              <w:rPr>
                <w:rFonts w:hint="eastAsia" w:ascii="方正仿宋_GB2312" w:hAnsi="方正仿宋_GB2312" w:eastAsia="方正仿宋_GB2312" w:cs="Times New Roman"/>
                <w:color w:val="000000"/>
                <w:kern w:val="0"/>
                <w:sz w:val="21"/>
                <w:szCs w:val="21"/>
              </w:rPr>
              <w:t>乡镇农村及特色区域覆盖率</w:t>
            </w:r>
          </w:p>
        </w:tc>
        <w:tc>
          <w:tcPr>
            <w:tcW w:w="3008" w:type="pct"/>
            <w:tcBorders>
              <w:top w:val="single" w:color="000000" w:sz="4" w:space="0"/>
              <w:left w:val="single" w:color="000000" w:sz="4" w:space="0"/>
              <w:bottom w:val="single" w:color="000000" w:sz="4" w:space="0"/>
              <w:right w:val="single" w:color="000000" w:sz="4" w:space="0"/>
            </w:tcBorders>
            <w:vAlign w:val="center"/>
          </w:tcPr>
          <w:p w14:paraId="6307DDFC">
            <w:pPr>
              <w:pageBreakBefore w:val="0"/>
              <w:widowControl/>
              <w:kinsoku/>
              <w:wordWrap/>
              <w:overflowPunct/>
              <w:topLinePunct w:val="0"/>
              <w:autoSpaceDE/>
              <w:autoSpaceDN/>
              <w:bidi w:val="0"/>
              <w:adjustRightInd/>
              <w:snapToGrid/>
              <w:spacing w:line="560" w:lineRule="exact"/>
              <w:jc w:val="center"/>
              <w:textAlignment w:val="center"/>
              <w:rPr>
                <w:rFonts w:cs="Times New Roman"/>
                <w:color w:val="000000"/>
                <w:sz w:val="21"/>
                <w:szCs w:val="21"/>
              </w:rPr>
            </w:pPr>
            <w:r>
              <w:rPr>
                <w:rFonts w:cs="Times New Roman"/>
                <w:color w:val="000000"/>
                <w:kern w:val="0"/>
                <w:sz w:val="21"/>
                <w:szCs w:val="21"/>
              </w:rPr>
              <w:t>≥90%</w:t>
            </w:r>
          </w:p>
        </w:tc>
      </w:tr>
    </w:tbl>
    <w:p w14:paraId="720B36AB">
      <w:pPr>
        <w:pStyle w:val="3"/>
        <w:keepNext/>
        <w:keepLines/>
        <w:pageBreakBefore w:val="0"/>
        <w:kinsoku/>
        <w:wordWrap/>
        <w:overflowPunct/>
        <w:topLinePunct w:val="0"/>
        <w:autoSpaceDE/>
        <w:autoSpaceDN/>
        <w:bidi w:val="0"/>
        <w:adjustRightInd/>
        <w:snapToGrid/>
        <w:spacing w:before="100" w:beforeAutospacing="0" w:after="100" w:afterAutospacing="0" w:line="560" w:lineRule="exact"/>
        <w:ind w:firstLine="632" w:firstLineChars="200"/>
        <w:rPr>
          <w:rFonts w:hint="default" w:ascii="Times New Roman" w:hAnsi="Times New Roman" w:eastAsia="黑体"/>
          <w:b w:val="0"/>
          <w:bCs w:val="0"/>
          <w:sz w:val="32"/>
          <w:szCs w:val="32"/>
        </w:rPr>
      </w:pPr>
      <w:bookmarkStart w:id="17" w:name="_Toc21255"/>
      <w:r>
        <w:rPr>
          <w:rFonts w:ascii="Times New Roman" w:hAnsi="Times New Roman" w:eastAsia="黑体"/>
          <w:b w:val="0"/>
          <w:bCs w:val="0"/>
          <w:sz w:val="32"/>
          <w:szCs w:val="32"/>
        </w:rPr>
        <w:t>二</w:t>
      </w:r>
      <w:r>
        <w:rPr>
          <w:rFonts w:hint="default" w:ascii="Times New Roman" w:hAnsi="Times New Roman" w:eastAsia="黑体"/>
          <w:b w:val="0"/>
          <w:bCs w:val="0"/>
          <w:sz w:val="32"/>
          <w:szCs w:val="32"/>
        </w:rPr>
        <w:t>、重点任务</w:t>
      </w:r>
      <w:bookmarkEnd w:id="17"/>
    </w:p>
    <w:p w14:paraId="333D387B">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bookmarkStart w:id="18" w:name="_Toc29235"/>
      <w:r>
        <w:rPr>
          <w:rFonts w:ascii="方正楷体简体" w:hAnsi="方正楷体简体" w:eastAsia="方正楷体简体"/>
          <w:sz w:val="32"/>
          <w:szCs w:val="32"/>
        </w:rPr>
        <w:t>（一）</w:t>
      </w:r>
      <w:bookmarkEnd w:id="18"/>
      <w:r>
        <w:rPr>
          <w:rFonts w:ascii="方正楷体简体" w:hAnsi="方正楷体简体" w:eastAsia="方正楷体简体"/>
          <w:sz w:val="32"/>
          <w:szCs w:val="32"/>
        </w:rPr>
        <w:t>优化网络布局，补齐设施短板</w:t>
      </w:r>
    </w:p>
    <w:p w14:paraId="4EAC91FC">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按照科学布局、系统推进、适度超前的原则，重点构建大武口区电动汽车充电基础设施</w:t>
      </w:r>
      <w:r>
        <w:rPr>
          <w:rFonts w:hint="eastAsia" w:eastAsia="方正仿宋_GB2312" w:cs="Times New Roman"/>
          <w:kern w:val="0"/>
          <w:szCs w:val="32"/>
        </w:rPr>
        <w:t>“</w:t>
      </w:r>
      <w:r>
        <w:rPr>
          <w:rFonts w:eastAsia="方正仿宋_GB2312" w:cs="Times New Roman"/>
          <w:kern w:val="0"/>
          <w:szCs w:val="32"/>
        </w:rPr>
        <w:t>点线面</w:t>
      </w:r>
      <w:r>
        <w:rPr>
          <w:rFonts w:hint="eastAsia" w:eastAsia="方正仿宋_GB2312" w:cs="Times New Roman"/>
          <w:kern w:val="0"/>
          <w:szCs w:val="32"/>
        </w:rPr>
        <w:t>”</w:t>
      </w:r>
      <w:r>
        <w:rPr>
          <w:rFonts w:eastAsia="方正仿宋_GB2312" w:cs="Times New Roman"/>
          <w:kern w:val="0"/>
          <w:szCs w:val="32"/>
        </w:rPr>
        <w:t>空间发展格局，推动城市充电网络从中心城区向城区边缘、从优先发展区域向其他区域有序延伸</w:t>
      </w:r>
      <w:r>
        <w:rPr>
          <w:rFonts w:hint="eastAsia" w:eastAsia="方正仿宋_GB2312" w:cs="Times New Roman"/>
          <w:kern w:val="0"/>
          <w:szCs w:val="32"/>
        </w:rPr>
        <w:t>。</w:t>
      </w:r>
    </w:p>
    <w:p w14:paraId="4D695F71">
      <w:pPr>
        <w:pageBreakBefore w:val="0"/>
        <w:kinsoku/>
        <w:wordWrap/>
        <w:overflowPunct/>
        <w:topLinePunct w:val="0"/>
        <w:autoSpaceDE/>
        <w:autoSpaceDN/>
        <w:bidi w:val="0"/>
        <w:adjustRightInd/>
        <w:snapToGrid/>
        <w:spacing w:line="560" w:lineRule="exact"/>
        <w:ind w:firstLine="632" w:firstLineChars="200"/>
        <w:rPr>
          <w:rFonts w:hint="eastAsia" w:ascii="方正仿宋_GB2312" w:hAnsi="方正仿宋_GB2312" w:eastAsia="方正仿宋_GB2312" w:cs="Times New Roman"/>
          <w:b/>
          <w:bCs/>
          <w:kern w:val="0"/>
          <w:szCs w:val="32"/>
        </w:rPr>
      </w:pPr>
      <w:r>
        <w:rPr>
          <w:rFonts w:eastAsia="方正仿宋_GB2312" w:cs="Times New Roman"/>
          <w:b/>
          <w:bCs/>
          <w:kern w:val="0"/>
          <w:szCs w:val="32"/>
        </w:rPr>
        <w:t>1</w:t>
      </w:r>
      <w:r>
        <w:rPr>
          <w:rFonts w:hint="eastAsia" w:ascii="方正仿宋_GB2312" w:hAnsi="方正仿宋_GB2312" w:eastAsia="方正仿宋_GB2312" w:cs="Times New Roman"/>
          <w:b/>
          <w:bCs/>
          <w:kern w:val="0"/>
          <w:szCs w:val="32"/>
        </w:rPr>
        <w:t>.攻坚居民区充电难题</w:t>
      </w:r>
    </w:p>
    <w:p w14:paraId="5E7F454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针对新建住宅，严格落实</w:t>
      </w:r>
      <w:r>
        <w:rPr>
          <w:rFonts w:hint="eastAsia" w:eastAsia="方正仿宋_GB2312" w:cs="Times New Roman"/>
          <w:kern w:val="0"/>
          <w:szCs w:val="32"/>
        </w:rPr>
        <w:t>“</w:t>
      </w:r>
      <w:r>
        <w:rPr>
          <w:rFonts w:eastAsia="方正仿宋_GB2312" w:cs="Times New Roman"/>
          <w:kern w:val="0"/>
          <w:szCs w:val="32"/>
        </w:rPr>
        <w:t>不小于总停车位10%的比例配建充电设施，配建停车位100%预留充电设施建设安装条件</w:t>
      </w:r>
      <w:r>
        <w:rPr>
          <w:rFonts w:hint="eastAsia" w:eastAsia="方正仿宋_GB2312" w:cs="Times New Roman"/>
          <w:kern w:val="0"/>
          <w:szCs w:val="32"/>
        </w:rPr>
        <w:t>”</w:t>
      </w:r>
      <w:r>
        <w:rPr>
          <w:rFonts w:eastAsia="方正仿宋_GB2312" w:cs="Times New Roman"/>
          <w:kern w:val="0"/>
          <w:szCs w:val="32"/>
        </w:rPr>
        <w:t>要求，将建设情况纳入工程验收核心指标。对于</w:t>
      </w:r>
      <w:r>
        <w:rPr>
          <w:rFonts w:hint="eastAsia" w:eastAsia="方正仿宋_GB2312" w:cs="Times New Roman"/>
          <w:kern w:val="0"/>
          <w:szCs w:val="32"/>
        </w:rPr>
        <w:t>已建</w:t>
      </w:r>
      <w:r>
        <w:rPr>
          <w:rFonts w:eastAsia="方正仿宋_GB2312" w:cs="Times New Roman"/>
          <w:kern w:val="0"/>
          <w:szCs w:val="32"/>
        </w:rPr>
        <w:t>小区，结合</w:t>
      </w:r>
      <w:r>
        <w:rPr>
          <w:rFonts w:hint="eastAsia" w:eastAsia="方正仿宋_GB2312" w:cs="Times New Roman"/>
          <w:kern w:val="0"/>
          <w:szCs w:val="32"/>
        </w:rPr>
        <w:t>城市更新、</w:t>
      </w:r>
      <w:r>
        <w:rPr>
          <w:rFonts w:eastAsia="方正仿宋_GB2312" w:cs="Times New Roman"/>
          <w:kern w:val="0"/>
          <w:szCs w:val="32"/>
        </w:rPr>
        <w:t>老旧小区改造工程，采用</w:t>
      </w:r>
      <w:r>
        <w:rPr>
          <w:rFonts w:hint="eastAsia" w:eastAsia="方正仿宋_GB2312" w:cs="Times New Roman"/>
          <w:kern w:val="0"/>
          <w:szCs w:val="32"/>
        </w:rPr>
        <w:t>“</w:t>
      </w:r>
      <w:r>
        <w:rPr>
          <w:rFonts w:eastAsia="方正仿宋_GB2312" w:cs="Times New Roman"/>
          <w:kern w:val="0"/>
          <w:szCs w:val="32"/>
        </w:rPr>
        <w:t>统建统</w:t>
      </w:r>
      <w:r>
        <w:rPr>
          <w:rFonts w:hint="eastAsia" w:eastAsia="方正仿宋_GB2312" w:cs="Times New Roman"/>
          <w:kern w:val="0"/>
          <w:szCs w:val="32"/>
        </w:rPr>
        <w:t>服”</w:t>
      </w:r>
      <w:r>
        <w:rPr>
          <w:rFonts w:eastAsia="方正仿宋_GB2312" w:cs="Times New Roman"/>
          <w:kern w:val="0"/>
          <w:szCs w:val="32"/>
        </w:rPr>
        <w:t>模式，优先在小区公共停车场、闲置空地建设集中式充电桩群，解决居民</w:t>
      </w:r>
      <w:r>
        <w:rPr>
          <w:rFonts w:hint="eastAsia" w:eastAsia="方正仿宋_GB2312" w:cs="Times New Roman"/>
          <w:kern w:val="0"/>
          <w:szCs w:val="32"/>
        </w:rPr>
        <w:t>“</w:t>
      </w:r>
      <w:r>
        <w:rPr>
          <w:rFonts w:eastAsia="方正仿宋_GB2312" w:cs="Times New Roman"/>
          <w:kern w:val="0"/>
          <w:szCs w:val="32"/>
        </w:rPr>
        <w:t>充电难、装桩难</w:t>
      </w:r>
      <w:r>
        <w:rPr>
          <w:rFonts w:hint="eastAsia" w:eastAsia="方正仿宋_GB2312" w:cs="Times New Roman"/>
          <w:kern w:val="0"/>
          <w:szCs w:val="32"/>
        </w:rPr>
        <w:t>”</w:t>
      </w:r>
      <w:r>
        <w:rPr>
          <w:rFonts w:eastAsia="方正仿宋_GB2312" w:cs="Times New Roman"/>
          <w:kern w:val="0"/>
          <w:szCs w:val="32"/>
        </w:rPr>
        <w:t>问题。支持居民区自用充电设施共享，鼓励有条件的充电设施对外开放，提供公共充电服务</w:t>
      </w:r>
      <w:r>
        <w:rPr>
          <w:rFonts w:hint="eastAsia" w:eastAsia="方正仿宋_GB2312" w:cs="Times New Roman"/>
          <w:kern w:val="0"/>
          <w:szCs w:val="32"/>
        </w:rPr>
        <w:t>。</w:t>
      </w:r>
    </w:p>
    <w:p w14:paraId="631C53E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至2028年，新建</w:t>
      </w:r>
      <w:r>
        <w:rPr>
          <w:rFonts w:hint="eastAsia" w:eastAsia="方正仿宋_GB2312" w:cs="Times New Roman"/>
          <w:kern w:val="0"/>
          <w:szCs w:val="32"/>
        </w:rPr>
        <w:t>居住小区5处</w:t>
      </w:r>
      <w:r>
        <w:rPr>
          <w:rFonts w:eastAsia="方正仿宋_GB2312" w:cs="Times New Roman"/>
          <w:kern w:val="0"/>
          <w:szCs w:val="32"/>
        </w:rPr>
        <w:t>居住小区配建公共充电桩不少于</w:t>
      </w:r>
      <w:r>
        <w:rPr>
          <w:rFonts w:hint="eastAsia" w:eastAsia="方正仿宋_GB2312" w:cs="Times New Roman"/>
          <w:kern w:val="0"/>
          <w:szCs w:val="32"/>
        </w:rPr>
        <w:t>297</w:t>
      </w:r>
      <w:r>
        <w:rPr>
          <w:rFonts w:eastAsia="方正仿宋_GB2312" w:cs="Times New Roman"/>
          <w:kern w:val="0"/>
          <w:szCs w:val="32"/>
        </w:rPr>
        <w:t>台</w:t>
      </w:r>
      <w:r>
        <w:rPr>
          <w:rFonts w:hint="eastAsia" w:eastAsia="方正仿宋_GB2312" w:cs="Times New Roman"/>
          <w:kern w:val="0"/>
          <w:szCs w:val="32"/>
        </w:rPr>
        <w:t>，</w:t>
      </w:r>
      <w:r>
        <w:rPr>
          <w:rFonts w:eastAsia="方正仿宋_GB2312" w:cs="Times New Roman"/>
          <w:kern w:val="0"/>
          <w:szCs w:val="32"/>
        </w:rPr>
        <w:t>已建小区</w:t>
      </w:r>
      <w:r>
        <w:rPr>
          <w:rFonts w:hint="eastAsia" w:eastAsia="方正仿宋_GB2312" w:cs="Times New Roman"/>
          <w:kern w:val="0"/>
          <w:szCs w:val="32"/>
        </w:rPr>
        <w:t>结合小区安装条件与居民需求配建</w:t>
      </w:r>
      <w:r>
        <w:rPr>
          <w:rFonts w:eastAsia="方正仿宋_GB2312" w:cs="Times New Roman"/>
          <w:kern w:val="0"/>
          <w:szCs w:val="32"/>
        </w:rPr>
        <w:t>公共充电桩</w:t>
      </w:r>
      <w:r>
        <w:rPr>
          <w:rFonts w:hint="eastAsia" w:eastAsia="方正仿宋_GB2312" w:cs="Times New Roman"/>
          <w:kern w:val="0"/>
          <w:szCs w:val="32"/>
        </w:rPr>
        <w:t>。</w:t>
      </w:r>
    </w:p>
    <w:p w14:paraId="2DB61083">
      <w:pPr>
        <w:pStyle w:val="7"/>
        <w:pageBreakBefore w:val="0"/>
        <w:kinsoku/>
        <w:wordWrap/>
        <w:overflowPunct/>
        <w:topLinePunct w:val="0"/>
        <w:autoSpaceDE/>
        <w:autoSpaceDN/>
        <w:bidi w:val="0"/>
        <w:adjustRightInd/>
        <w:snapToGrid/>
        <w:spacing w:line="560" w:lineRule="exact"/>
        <w:jc w:val="center"/>
        <w:rPr>
          <w:rFonts w:ascii="Times New Roman" w:hAnsi="Times New Roman" w:cs="Times New Roman"/>
          <w:sz w:val="28"/>
          <w:szCs w:val="28"/>
        </w:rPr>
      </w:pPr>
      <w:r>
        <w:rPr>
          <w:rFonts w:ascii="Times New Roman" w:hAnsi="Times New Roman" w:cs="Times New Roman"/>
          <w:sz w:val="28"/>
          <w:szCs w:val="28"/>
        </w:rPr>
        <w:t>表</w:t>
      </w:r>
      <w:r>
        <w:rPr>
          <w:rFonts w:hint="eastAsia" w:ascii="Times New Roman" w:hAnsi="Times New Roman" w:cs="Times New Roman"/>
          <w:sz w:val="28"/>
          <w:szCs w:val="28"/>
        </w:rPr>
        <w:t>2 新建居住小区充电</w:t>
      </w:r>
      <w:r>
        <w:rPr>
          <w:rFonts w:ascii="Times New Roman" w:hAnsi="Times New Roman" w:cs="Times New Roman"/>
          <w:sz w:val="28"/>
          <w:szCs w:val="28"/>
        </w:rPr>
        <w:t>设施建设统计表</w:t>
      </w:r>
    </w:p>
    <w:tbl>
      <w:tblPr>
        <w:tblStyle w:val="12"/>
        <w:tblW w:w="5000" w:type="pct"/>
        <w:tblInd w:w="0" w:type="dxa"/>
        <w:tblLayout w:type="autofit"/>
        <w:tblCellMar>
          <w:top w:w="0" w:type="dxa"/>
          <w:left w:w="108" w:type="dxa"/>
          <w:bottom w:w="0" w:type="dxa"/>
          <w:right w:w="108" w:type="dxa"/>
        </w:tblCellMar>
      </w:tblPr>
      <w:tblGrid>
        <w:gridCol w:w="645"/>
        <w:gridCol w:w="1816"/>
        <w:gridCol w:w="3938"/>
        <w:gridCol w:w="1307"/>
        <w:gridCol w:w="1354"/>
      </w:tblGrid>
      <w:tr w14:paraId="0A22916F">
        <w:tblPrEx>
          <w:tblCellMar>
            <w:top w:w="0" w:type="dxa"/>
            <w:left w:w="108" w:type="dxa"/>
            <w:bottom w:w="0" w:type="dxa"/>
            <w:right w:w="108" w:type="dxa"/>
          </w:tblCellMar>
        </w:tblPrEx>
        <w:trPr>
          <w:trHeight w:val="757" w:hRule="atLeast"/>
          <w:tblHeader/>
        </w:trPr>
        <w:tc>
          <w:tcPr>
            <w:tcW w:w="356" w:type="pct"/>
            <w:tcBorders>
              <w:top w:val="single" w:color="000000" w:sz="8" w:space="0"/>
              <w:left w:val="single" w:color="000000" w:sz="8" w:space="0"/>
              <w:bottom w:val="single" w:color="000000" w:sz="8" w:space="0"/>
              <w:right w:val="single" w:color="000000" w:sz="8" w:space="0"/>
            </w:tcBorders>
            <w:noWrap/>
            <w:vAlign w:val="center"/>
          </w:tcPr>
          <w:p w14:paraId="51509F3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序号</w:t>
            </w:r>
          </w:p>
        </w:tc>
        <w:tc>
          <w:tcPr>
            <w:tcW w:w="1002" w:type="pct"/>
            <w:tcBorders>
              <w:top w:val="single" w:color="000000" w:sz="8" w:space="0"/>
              <w:left w:val="nil"/>
              <w:bottom w:val="single" w:color="auto" w:sz="4" w:space="0"/>
              <w:right w:val="single" w:color="000000" w:sz="8" w:space="0"/>
            </w:tcBorders>
            <w:vAlign w:val="center"/>
          </w:tcPr>
          <w:p w14:paraId="1CF820B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建设类型</w:t>
            </w:r>
          </w:p>
        </w:tc>
        <w:tc>
          <w:tcPr>
            <w:tcW w:w="2172" w:type="pct"/>
            <w:tcBorders>
              <w:top w:val="single" w:color="000000" w:sz="8" w:space="0"/>
              <w:left w:val="single" w:color="000000" w:sz="8" w:space="0"/>
              <w:bottom w:val="single" w:color="000000" w:sz="8" w:space="0"/>
              <w:right w:val="single" w:color="auto" w:sz="4" w:space="0"/>
            </w:tcBorders>
            <w:vAlign w:val="center"/>
          </w:tcPr>
          <w:p w14:paraId="760B3D3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充电站名称</w:t>
            </w:r>
          </w:p>
        </w:tc>
        <w:tc>
          <w:tcPr>
            <w:tcW w:w="721" w:type="pct"/>
            <w:tcBorders>
              <w:top w:val="single" w:color="auto" w:sz="4" w:space="0"/>
              <w:left w:val="single" w:color="auto" w:sz="4" w:space="0"/>
              <w:right w:val="single" w:color="auto" w:sz="4" w:space="0"/>
            </w:tcBorders>
            <w:vAlign w:val="center"/>
          </w:tcPr>
          <w:p w14:paraId="2837ED5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小区预计车位数（个）</w:t>
            </w:r>
          </w:p>
        </w:tc>
        <w:tc>
          <w:tcPr>
            <w:tcW w:w="747" w:type="pct"/>
            <w:tcBorders>
              <w:top w:val="single" w:color="000000" w:sz="8" w:space="0"/>
              <w:left w:val="single" w:color="000000" w:sz="8" w:space="0"/>
              <w:bottom w:val="single" w:color="000000" w:sz="8" w:space="0"/>
              <w:right w:val="single" w:color="000000" w:sz="8" w:space="0"/>
            </w:tcBorders>
            <w:vAlign w:val="center"/>
          </w:tcPr>
          <w:p w14:paraId="04995A1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总充电桩数量（台）</w:t>
            </w:r>
          </w:p>
        </w:tc>
      </w:tr>
      <w:tr w14:paraId="62CD74EF">
        <w:tblPrEx>
          <w:tblCellMar>
            <w:top w:w="0" w:type="dxa"/>
            <w:left w:w="108" w:type="dxa"/>
            <w:bottom w:w="0" w:type="dxa"/>
            <w:right w:w="108" w:type="dxa"/>
          </w:tblCellMar>
        </w:tblPrEx>
        <w:trPr>
          <w:trHeight w:val="20" w:hRule="atLeast"/>
        </w:trPr>
        <w:tc>
          <w:tcPr>
            <w:tcW w:w="356" w:type="pct"/>
            <w:vMerge w:val="restart"/>
            <w:tcBorders>
              <w:top w:val="nil"/>
              <w:left w:val="single" w:color="000000" w:sz="8" w:space="0"/>
              <w:right w:val="single" w:color="000000" w:sz="8" w:space="0"/>
            </w:tcBorders>
            <w:noWrap/>
            <w:vAlign w:val="center"/>
          </w:tcPr>
          <w:p w14:paraId="6B31F7B5">
            <w:pPr>
              <w:pageBreakBefore w:val="0"/>
              <w:widowControl/>
              <w:kinsoku/>
              <w:wordWrap/>
              <w:overflowPunct/>
              <w:topLinePunct w:val="0"/>
              <w:autoSpaceDE/>
              <w:autoSpaceDN/>
              <w:bidi w:val="0"/>
              <w:adjustRightInd/>
              <w:snapToGrid/>
              <w:spacing w:line="560" w:lineRule="exact"/>
              <w:ind w:firstLine="206" w:firstLineChars="100"/>
              <w:rPr>
                <w:rFonts w:eastAsia="方正仿宋_GB2312" w:cs="Times New Roman"/>
                <w:color w:val="000000"/>
                <w:kern w:val="0"/>
                <w:sz w:val="21"/>
                <w:szCs w:val="21"/>
              </w:rPr>
            </w:pPr>
            <w:r>
              <w:rPr>
                <w:rFonts w:eastAsia="方正仿宋_GB2312" w:cs="Times New Roman"/>
                <w:color w:val="000000"/>
                <w:kern w:val="0"/>
                <w:sz w:val="21"/>
                <w:szCs w:val="21"/>
              </w:rPr>
              <w:t>1</w:t>
            </w:r>
          </w:p>
        </w:tc>
        <w:tc>
          <w:tcPr>
            <w:tcW w:w="1002" w:type="pct"/>
            <w:tcBorders>
              <w:top w:val="single" w:color="auto" w:sz="4" w:space="0"/>
              <w:left w:val="nil"/>
              <w:bottom w:val="single" w:color="000000" w:sz="8" w:space="0"/>
              <w:right w:val="single" w:color="000000" w:sz="8" w:space="0"/>
            </w:tcBorders>
            <w:vAlign w:val="center"/>
          </w:tcPr>
          <w:p w14:paraId="76F8D74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新建居住区</w:t>
            </w:r>
          </w:p>
        </w:tc>
        <w:tc>
          <w:tcPr>
            <w:tcW w:w="2172" w:type="pct"/>
            <w:tcBorders>
              <w:top w:val="nil"/>
              <w:left w:val="nil"/>
              <w:bottom w:val="single" w:color="000000" w:sz="8" w:space="0"/>
              <w:right w:val="single" w:color="auto" w:sz="4" w:space="0"/>
            </w:tcBorders>
            <w:vAlign w:val="center"/>
          </w:tcPr>
          <w:p w14:paraId="4367E12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老党校旁</w:t>
            </w:r>
            <w:r>
              <w:rPr>
                <w:rFonts w:eastAsia="方正仿宋_GB2312" w:cs="Times New Roman"/>
                <w:color w:val="000000"/>
                <w:kern w:val="0"/>
                <w:sz w:val="21"/>
                <w:szCs w:val="21"/>
              </w:rPr>
              <w:t>G2025—16</w:t>
            </w:r>
            <w:r>
              <w:rPr>
                <w:rFonts w:hint="eastAsia" w:ascii="方正仿宋_GB2312" w:hAnsi="方正仿宋_GB2312" w:eastAsia="方正仿宋_GB2312"/>
                <w:color w:val="000000"/>
                <w:kern w:val="0"/>
                <w:sz w:val="21"/>
                <w:szCs w:val="21"/>
              </w:rPr>
              <w:t>号地块</w:t>
            </w:r>
          </w:p>
        </w:tc>
        <w:tc>
          <w:tcPr>
            <w:tcW w:w="721" w:type="pct"/>
            <w:tcBorders>
              <w:top w:val="single" w:color="auto" w:sz="4" w:space="0"/>
              <w:left w:val="single" w:color="auto" w:sz="4" w:space="0"/>
              <w:bottom w:val="single" w:color="auto" w:sz="4" w:space="0"/>
              <w:right w:val="single" w:color="auto" w:sz="4" w:space="0"/>
            </w:tcBorders>
            <w:vAlign w:val="center"/>
          </w:tcPr>
          <w:p w14:paraId="0335D36A">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170</w:t>
            </w:r>
          </w:p>
        </w:tc>
        <w:tc>
          <w:tcPr>
            <w:tcW w:w="747" w:type="pct"/>
            <w:tcBorders>
              <w:top w:val="nil"/>
              <w:left w:val="nil"/>
              <w:bottom w:val="single" w:color="000000" w:sz="8" w:space="0"/>
              <w:right w:val="single" w:color="000000" w:sz="8" w:space="0"/>
            </w:tcBorders>
            <w:noWrap/>
            <w:vAlign w:val="center"/>
          </w:tcPr>
          <w:p w14:paraId="42FC441A">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17</w:t>
            </w:r>
          </w:p>
        </w:tc>
      </w:tr>
      <w:tr w14:paraId="3D7EFA75">
        <w:tblPrEx>
          <w:tblCellMar>
            <w:top w:w="0" w:type="dxa"/>
            <w:left w:w="108" w:type="dxa"/>
            <w:bottom w:w="0" w:type="dxa"/>
            <w:right w:w="108" w:type="dxa"/>
          </w:tblCellMar>
        </w:tblPrEx>
        <w:trPr>
          <w:trHeight w:val="20" w:hRule="atLeast"/>
        </w:trPr>
        <w:tc>
          <w:tcPr>
            <w:tcW w:w="356" w:type="pct"/>
            <w:vMerge w:val="continue"/>
            <w:tcBorders>
              <w:left w:val="single" w:color="000000" w:sz="8" w:space="0"/>
              <w:bottom w:val="single" w:color="000000" w:sz="8" w:space="0"/>
              <w:right w:val="single" w:color="000000" w:sz="8" w:space="0"/>
            </w:tcBorders>
            <w:noWrap/>
            <w:vAlign w:val="center"/>
          </w:tcPr>
          <w:p w14:paraId="7F0BDD58">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p>
        </w:tc>
        <w:tc>
          <w:tcPr>
            <w:tcW w:w="1002" w:type="pct"/>
            <w:tcBorders>
              <w:top w:val="nil"/>
              <w:left w:val="nil"/>
              <w:bottom w:val="single" w:color="000000" w:sz="8" w:space="0"/>
              <w:right w:val="single" w:color="000000" w:sz="8" w:space="0"/>
            </w:tcBorders>
            <w:vAlign w:val="center"/>
          </w:tcPr>
          <w:p w14:paraId="0537881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新建居住区</w:t>
            </w:r>
          </w:p>
        </w:tc>
        <w:tc>
          <w:tcPr>
            <w:tcW w:w="2172" w:type="pct"/>
            <w:tcBorders>
              <w:top w:val="nil"/>
              <w:left w:val="nil"/>
              <w:bottom w:val="single" w:color="000000" w:sz="8" w:space="0"/>
              <w:right w:val="single" w:color="auto" w:sz="4" w:space="0"/>
            </w:tcBorders>
            <w:vAlign w:val="center"/>
          </w:tcPr>
          <w:p w14:paraId="3E6C651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老党校地块开发住宅项目</w:t>
            </w:r>
          </w:p>
        </w:tc>
        <w:tc>
          <w:tcPr>
            <w:tcW w:w="721" w:type="pct"/>
            <w:tcBorders>
              <w:top w:val="single" w:color="auto" w:sz="4" w:space="0"/>
              <w:left w:val="single" w:color="auto" w:sz="4" w:space="0"/>
              <w:bottom w:val="single" w:color="auto" w:sz="4" w:space="0"/>
              <w:right w:val="single" w:color="auto" w:sz="4" w:space="0"/>
            </w:tcBorders>
            <w:vAlign w:val="center"/>
          </w:tcPr>
          <w:p w14:paraId="5F6E3C67">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585</w:t>
            </w:r>
          </w:p>
        </w:tc>
        <w:tc>
          <w:tcPr>
            <w:tcW w:w="747" w:type="pct"/>
            <w:tcBorders>
              <w:top w:val="nil"/>
              <w:left w:val="nil"/>
              <w:bottom w:val="single" w:color="000000" w:sz="8" w:space="0"/>
              <w:right w:val="single" w:color="000000" w:sz="8" w:space="0"/>
            </w:tcBorders>
            <w:noWrap/>
            <w:vAlign w:val="center"/>
          </w:tcPr>
          <w:p w14:paraId="23102598">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59</w:t>
            </w:r>
          </w:p>
        </w:tc>
      </w:tr>
      <w:tr w14:paraId="529D0381">
        <w:trPr>
          <w:trHeight w:val="20" w:hRule="atLeast"/>
        </w:trPr>
        <w:tc>
          <w:tcPr>
            <w:tcW w:w="356" w:type="pct"/>
            <w:tcBorders>
              <w:top w:val="nil"/>
              <w:left w:val="single" w:color="000000" w:sz="8" w:space="0"/>
              <w:bottom w:val="single" w:color="000000" w:sz="8" w:space="0"/>
              <w:right w:val="single" w:color="000000" w:sz="8" w:space="0"/>
            </w:tcBorders>
            <w:noWrap/>
            <w:vAlign w:val="center"/>
          </w:tcPr>
          <w:p w14:paraId="4B5B23DC">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2</w:t>
            </w:r>
          </w:p>
        </w:tc>
        <w:tc>
          <w:tcPr>
            <w:tcW w:w="1002" w:type="pct"/>
            <w:tcBorders>
              <w:top w:val="nil"/>
              <w:left w:val="nil"/>
              <w:bottom w:val="single" w:color="000000" w:sz="8" w:space="0"/>
              <w:right w:val="single" w:color="000000" w:sz="8" w:space="0"/>
            </w:tcBorders>
            <w:vAlign w:val="center"/>
          </w:tcPr>
          <w:p w14:paraId="027B821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新建居住区</w:t>
            </w:r>
          </w:p>
        </w:tc>
        <w:tc>
          <w:tcPr>
            <w:tcW w:w="2172" w:type="pct"/>
            <w:tcBorders>
              <w:top w:val="nil"/>
              <w:left w:val="nil"/>
              <w:bottom w:val="single" w:color="000000" w:sz="8" w:space="0"/>
              <w:right w:val="single" w:color="auto" w:sz="4" w:space="0"/>
            </w:tcBorders>
            <w:vAlign w:val="center"/>
          </w:tcPr>
          <w:p w14:paraId="573A9E0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明快巷地块</w:t>
            </w:r>
          </w:p>
        </w:tc>
        <w:tc>
          <w:tcPr>
            <w:tcW w:w="721" w:type="pct"/>
            <w:tcBorders>
              <w:top w:val="single" w:color="auto" w:sz="4" w:space="0"/>
              <w:left w:val="single" w:color="auto" w:sz="4" w:space="0"/>
              <w:bottom w:val="single" w:color="auto" w:sz="4" w:space="0"/>
              <w:right w:val="single" w:color="auto" w:sz="4" w:space="0"/>
            </w:tcBorders>
            <w:vAlign w:val="center"/>
          </w:tcPr>
          <w:p w14:paraId="7ECD14B6">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438</w:t>
            </w:r>
          </w:p>
        </w:tc>
        <w:tc>
          <w:tcPr>
            <w:tcW w:w="747" w:type="pct"/>
            <w:tcBorders>
              <w:top w:val="nil"/>
              <w:left w:val="nil"/>
              <w:bottom w:val="single" w:color="000000" w:sz="8" w:space="0"/>
              <w:right w:val="single" w:color="000000" w:sz="8" w:space="0"/>
            </w:tcBorders>
            <w:noWrap/>
            <w:vAlign w:val="center"/>
          </w:tcPr>
          <w:p w14:paraId="1CA0745E">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44</w:t>
            </w:r>
          </w:p>
        </w:tc>
      </w:tr>
      <w:tr w14:paraId="22A62073">
        <w:tblPrEx>
          <w:tblCellMar>
            <w:top w:w="0" w:type="dxa"/>
            <w:left w:w="108" w:type="dxa"/>
            <w:bottom w:w="0" w:type="dxa"/>
            <w:right w:w="108" w:type="dxa"/>
          </w:tblCellMar>
        </w:tblPrEx>
        <w:trPr>
          <w:trHeight w:val="600" w:hRule="atLeast"/>
        </w:trPr>
        <w:tc>
          <w:tcPr>
            <w:tcW w:w="356" w:type="pct"/>
            <w:tcBorders>
              <w:top w:val="nil"/>
              <w:left w:val="single" w:color="000000" w:sz="8" w:space="0"/>
              <w:bottom w:val="single" w:color="000000" w:sz="8" w:space="0"/>
              <w:right w:val="single" w:color="000000" w:sz="8" w:space="0"/>
            </w:tcBorders>
            <w:noWrap/>
            <w:vAlign w:val="center"/>
          </w:tcPr>
          <w:p w14:paraId="6C9C3F08">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3</w:t>
            </w:r>
          </w:p>
        </w:tc>
        <w:tc>
          <w:tcPr>
            <w:tcW w:w="1002" w:type="pct"/>
            <w:tcBorders>
              <w:top w:val="nil"/>
              <w:left w:val="nil"/>
              <w:bottom w:val="single" w:color="000000" w:sz="8" w:space="0"/>
              <w:right w:val="single" w:color="000000" w:sz="8" w:space="0"/>
            </w:tcBorders>
            <w:vAlign w:val="center"/>
          </w:tcPr>
          <w:p w14:paraId="412B079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新建居住区</w:t>
            </w:r>
          </w:p>
        </w:tc>
        <w:tc>
          <w:tcPr>
            <w:tcW w:w="2172" w:type="pct"/>
            <w:tcBorders>
              <w:top w:val="nil"/>
              <w:left w:val="nil"/>
              <w:bottom w:val="single" w:color="000000" w:sz="8" w:space="0"/>
              <w:right w:val="single" w:color="auto" w:sz="4" w:space="0"/>
            </w:tcBorders>
            <w:vAlign w:val="center"/>
          </w:tcPr>
          <w:p w14:paraId="2ACE5B0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大武口区赢嘉苑房地产项目</w:t>
            </w:r>
          </w:p>
          <w:p w14:paraId="498635F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（大武口区老汽车站对面）</w:t>
            </w:r>
          </w:p>
        </w:tc>
        <w:tc>
          <w:tcPr>
            <w:tcW w:w="721" w:type="pct"/>
            <w:tcBorders>
              <w:top w:val="single" w:color="auto" w:sz="4" w:space="0"/>
              <w:left w:val="single" w:color="auto" w:sz="4" w:space="0"/>
              <w:bottom w:val="single" w:color="auto" w:sz="4" w:space="0"/>
              <w:right w:val="single" w:color="auto" w:sz="4" w:space="0"/>
            </w:tcBorders>
            <w:vAlign w:val="center"/>
          </w:tcPr>
          <w:p w14:paraId="3CD02CB4">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78</w:t>
            </w:r>
          </w:p>
        </w:tc>
        <w:tc>
          <w:tcPr>
            <w:tcW w:w="747" w:type="pct"/>
            <w:tcBorders>
              <w:top w:val="nil"/>
              <w:left w:val="nil"/>
              <w:bottom w:val="single" w:color="000000" w:sz="8" w:space="0"/>
              <w:right w:val="single" w:color="000000" w:sz="8" w:space="0"/>
            </w:tcBorders>
            <w:noWrap/>
            <w:vAlign w:val="center"/>
          </w:tcPr>
          <w:p w14:paraId="194FBA2D">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24</w:t>
            </w:r>
          </w:p>
        </w:tc>
      </w:tr>
      <w:tr w14:paraId="22A0A358">
        <w:tblPrEx>
          <w:tblCellMar>
            <w:top w:w="0" w:type="dxa"/>
            <w:left w:w="108" w:type="dxa"/>
            <w:bottom w:w="0" w:type="dxa"/>
            <w:right w:w="108" w:type="dxa"/>
          </w:tblCellMar>
        </w:tblPrEx>
        <w:trPr>
          <w:trHeight w:val="20" w:hRule="atLeast"/>
        </w:trPr>
        <w:tc>
          <w:tcPr>
            <w:tcW w:w="356" w:type="pct"/>
            <w:tcBorders>
              <w:top w:val="nil"/>
              <w:left w:val="single" w:color="000000" w:sz="8" w:space="0"/>
              <w:bottom w:val="single" w:color="000000" w:sz="8" w:space="0"/>
              <w:right w:val="single" w:color="000000" w:sz="8" w:space="0"/>
            </w:tcBorders>
            <w:noWrap/>
            <w:vAlign w:val="center"/>
          </w:tcPr>
          <w:p w14:paraId="5A3795EC">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4</w:t>
            </w:r>
          </w:p>
        </w:tc>
        <w:tc>
          <w:tcPr>
            <w:tcW w:w="1002" w:type="pct"/>
            <w:tcBorders>
              <w:top w:val="nil"/>
              <w:left w:val="nil"/>
              <w:bottom w:val="single" w:color="000000" w:sz="8" w:space="0"/>
              <w:right w:val="single" w:color="000000" w:sz="8" w:space="0"/>
            </w:tcBorders>
            <w:vAlign w:val="center"/>
          </w:tcPr>
          <w:p w14:paraId="217F56C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新建居住区</w:t>
            </w:r>
          </w:p>
        </w:tc>
        <w:tc>
          <w:tcPr>
            <w:tcW w:w="2172" w:type="pct"/>
            <w:tcBorders>
              <w:top w:val="nil"/>
              <w:left w:val="nil"/>
              <w:bottom w:val="single" w:color="000000" w:sz="8" w:space="0"/>
              <w:right w:val="single" w:color="auto" w:sz="4" w:space="0"/>
            </w:tcBorders>
            <w:vAlign w:val="center"/>
          </w:tcPr>
          <w:p w14:paraId="2D30D42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恒产星座房地产开发项目</w:t>
            </w:r>
          </w:p>
          <w:p w14:paraId="4548B1E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（沙湖大道与世纪大道交汇处以南、五岳路以北）</w:t>
            </w:r>
          </w:p>
        </w:tc>
        <w:tc>
          <w:tcPr>
            <w:tcW w:w="721" w:type="pct"/>
            <w:tcBorders>
              <w:top w:val="single" w:color="auto" w:sz="4" w:space="0"/>
              <w:left w:val="single" w:color="auto" w:sz="4" w:space="0"/>
              <w:bottom w:val="single" w:color="auto" w:sz="4" w:space="0"/>
              <w:right w:val="single" w:color="auto" w:sz="4" w:space="0"/>
            </w:tcBorders>
            <w:vAlign w:val="center"/>
          </w:tcPr>
          <w:p w14:paraId="10DE499C">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257</w:t>
            </w:r>
          </w:p>
        </w:tc>
        <w:tc>
          <w:tcPr>
            <w:tcW w:w="747" w:type="pct"/>
            <w:tcBorders>
              <w:top w:val="nil"/>
              <w:left w:val="nil"/>
              <w:bottom w:val="single" w:color="000000" w:sz="8" w:space="0"/>
              <w:right w:val="single" w:color="000000" w:sz="8" w:space="0"/>
            </w:tcBorders>
            <w:noWrap/>
            <w:vAlign w:val="center"/>
          </w:tcPr>
          <w:p w14:paraId="3ABA92DB">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76</w:t>
            </w:r>
          </w:p>
        </w:tc>
      </w:tr>
      <w:tr w14:paraId="485CB9FB">
        <w:tblPrEx>
          <w:tblCellMar>
            <w:top w:w="0" w:type="dxa"/>
            <w:left w:w="108" w:type="dxa"/>
            <w:bottom w:w="0" w:type="dxa"/>
            <w:right w:w="108" w:type="dxa"/>
          </w:tblCellMar>
        </w:tblPrEx>
        <w:trPr>
          <w:trHeight w:val="20" w:hRule="atLeast"/>
        </w:trPr>
        <w:tc>
          <w:tcPr>
            <w:tcW w:w="356" w:type="pct"/>
            <w:tcBorders>
              <w:top w:val="nil"/>
              <w:left w:val="single" w:color="000000" w:sz="8" w:space="0"/>
              <w:bottom w:val="single" w:color="000000" w:sz="8" w:space="0"/>
              <w:right w:val="single" w:color="000000" w:sz="8" w:space="0"/>
            </w:tcBorders>
            <w:noWrap/>
            <w:vAlign w:val="center"/>
          </w:tcPr>
          <w:p w14:paraId="07A71AE6">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5</w:t>
            </w:r>
          </w:p>
        </w:tc>
        <w:tc>
          <w:tcPr>
            <w:tcW w:w="1002" w:type="pct"/>
            <w:tcBorders>
              <w:top w:val="nil"/>
              <w:left w:val="nil"/>
              <w:bottom w:val="single" w:color="000000" w:sz="8" w:space="0"/>
              <w:right w:val="single" w:color="000000" w:sz="8" w:space="0"/>
            </w:tcBorders>
            <w:vAlign w:val="center"/>
          </w:tcPr>
          <w:p w14:paraId="30BF985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新建居住区</w:t>
            </w:r>
          </w:p>
        </w:tc>
        <w:tc>
          <w:tcPr>
            <w:tcW w:w="2172" w:type="pct"/>
            <w:tcBorders>
              <w:top w:val="nil"/>
              <w:left w:val="nil"/>
              <w:bottom w:val="single" w:color="000000" w:sz="8" w:space="0"/>
              <w:right w:val="single" w:color="auto" w:sz="4" w:space="0"/>
            </w:tcBorders>
            <w:vAlign w:val="center"/>
          </w:tcPr>
          <w:p w14:paraId="4142F5B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大武口区世纪大道西侧（东方社区旁）</w:t>
            </w:r>
          </w:p>
        </w:tc>
        <w:tc>
          <w:tcPr>
            <w:tcW w:w="721" w:type="pct"/>
            <w:tcBorders>
              <w:top w:val="single" w:color="auto" w:sz="4" w:space="0"/>
              <w:left w:val="single" w:color="auto" w:sz="4" w:space="0"/>
              <w:bottom w:val="single" w:color="auto" w:sz="4" w:space="0"/>
              <w:right w:val="single" w:color="auto" w:sz="4" w:space="0"/>
            </w:tcBorders>
            <w:vAlign w:val="center"/>
          </w:tcPr>
          <w:p w14:paraId="40D9B10B">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770</w:t>
            </w:r>
          </w:p>
        </w:tc>
        <w:tc>
          <w:tcPr>
            <w:tcW w:w="747" w:type="pct"/>
            <w:tcBorders>
              <w:top w:val="nil"/>
              <w:left w:val="nil"/>
              <w:bottom w:val="single" w:color="000000" w:sz="8" w:space="0"/>
              <w:right w:val="single" w:color="000000" w:sz="8" w:space="0"/>
            </w:tcBorders>
            <w:noWrap/>
            <w:vAlign w:val="center"/>
          </w:tcPr>
          <w:p w14:paraId="7A69CFFB">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77</w:t>
            </w:r>
          </w:p>
        </w:tc>
      </w:tr>
      <w:tr w14:paraId="53F6B931">
        <w:trPr>
          <w:trHeight w:val="20" w:hRule="atLeast"/>
        </w:trPr>
        <w:tc>
          <w:tcPr>
            <w:tcW w:w="3531" w:type="pct"/>
            <w:gridSpan w:val="3"/>
            <w:tcBorders>
              <w:top w:val="single" w:color="000000" w:sz="8" w:space="0"/>
              <w:left w:val="single" w:color="auto" w:sz="4" w:space="0"/>
              <w:bottom w:val="single" w:color="000000" w:sz="8" w:space="0"/>
              <w:right w:val="single" w:color="auto" w:sz="4" w:space="0"/>
            </w:tcBorders>
            <w:vAlign w:val="center"/>
          </w:tcPr>
          <w:p w14:paraId="2857BE4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小计</w:t>
            </w:r>
          </w:p>
        </w:tc>
        <w:tc>
          <w:tcPr>
            <w:tcW w:w="721" w:type="pct"/>
            <w:tcBorders>
              <w:top w:val="single" w:color="auto" w:sz="4" w:space="0"/>
              <w:left w:val="single" w:color="auto" w:sz="4" w:space="0"/>
              <w:bottom w:val="single" w:color="auto" w:sz="4" w:space="0"/>
              <w:right w:val="single" w:color="auto" w:sz="4" w:space="0"/>
            </w:tcBorders>
            <w:vAlign w:val="center"/>
          </w:tcPr>
          <w:p w14:paraId="492C944C">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2298</w:t>
            </w:r>
          </w:p>
        </w:tc>
        <w:tc>
          <w:tcPr>
            <w:tcW w:w="747" w:type="pct"/>
            <w:tcBorders>
              <w:top w:val="nil"/>
              <w:left w:val="nil"/>
              <w:bottom w:val="single" w:color="000000" w:sz="8" w:space="0"/>
              <w:right w:val="single" w:color="000000" w:sz="8" w:space="0"/>
            </w:tcBorders>
            <w:vAlign w:val="center"/>
          </w:tcPr>
          <w:p w14:paraId="4E41F8E8">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297</w:t>
            </w:r>
          </w:p>
        </w:tc>
      </w:tr>
    </w:tbl>
    <w:p w14:paraId="5DBA5978">
      <w:pPr>
        <w:pStyle w:val="2"/>
        <w:jc w:val="center"/>
        <w:rPr>
          <w:rFonts w:eastAsia="黑体" w:cs="Times New Roman"/>
          <w:sz w:val="28"/>
          <w:szCs w:val="28"/>
        </w:rPr>
      </w:pPr>
      <w:r>
        <w:rPr>
          <w:rFonts w:hint="eastAsia" w:eastAsia="方正仿宋_GB2312" w:cs="Times New Roman"/>
          <w:b/>
          <w:bCs/>
          <w:kern w:val="0"/>
          <w:sz w:val="28"/>
          <w:szCs w:val="28"/>
        </w:rPr>
        <w:drawing>
          <wp:anchor distT="0" distB="0" distL="0" distR="0" simplePos="0" relativeHeight="251659264" behindDoc="0" locked="0" layoutInCell="1" allowOverlap="1">
            <wp:simplePos x="0" y="0"/>
            <wp:positionH relativeFrom="column">
              <wp:posOffset>30480</wp:posOffset>
            </wp:positionH>
            <wp:positionV relativeFrom="paragraph">
              <wp:posOffset>-12065</wp:posOffset>
            </wp:positionV>
            <wp:extent cx="5757545" cy="6325235"/>
            <wp:effectExtent l="0" t="0" r="14605" b="18415"/>
            <wp:wrapTopAndBottom/>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7545" cy="6325235"/>
                    </a:xfrm>
                    <a:prstGeom prst="rect">
                      <a:avLst/>
                    </a:prstGeom>
                  </pic:spPr>
                </pic:pic>
              </a:graphicData>
            </a:graphic>
          </wp:anchor>
        </w:drawing>
      </w:r>
      <w:r>
        <w:rPr>
          <w:rFonts w:hint="eastAsia" w:eastAsia="黑体" w:cs="Times New Roman"/>
          <w:sz w:val="28"/>
          <w:szCs w:val="28"/>
        </w:rPr>
        <w:t>图1 新建居住小区充电设施位置示意图</w:t>
      </w:r>
    </w:p>
    <w:p w14:paraId="51072689">
      <w:pPr>
        <w:pageBreakBefore w:val="0"/>
        <w:kinsoku/>
        <w:wordWrap/>
        <w:overflowPunct/>
        <w:topLinePunct w:val="0"/>
        <w:autoSpaceDE/>
        <w:autoSpaceDN/>
        <w:bidi w:val="0"/>
        <w:adjustRightInd/>
        <w:snapToGrid/>
        <w:spacing w:line="560" w:lineRule="exact"/>
        <w:ind w:firstLine="632" w:firstLineChars="200"/>
        <w:rPr>
          <w:rFonts w:hint="eastAsia" w:ascii="方正仿宋_GB2312" w:hAnsi="方正仿宋_GB2312" w:eastAsia="方正仿宋_GB2312" w:cs="Times New Roman"/>
          <w:b/>
          <w:bCs/>
          <w:kern w:val="0"/>
          <w:szCs w:val="32"/>
        </w:rPr>
      </w:pPr>
      <w:r>
        <w:rPr>
          <w:rFonts w:eastAsia="方正仿宋_GB2312" w:cs="Times New Roman"/>
          <w:b/>
          <w:bCs/>
          <w:kern w:val="0"/>
          <w:szCs w:val="32"/>
        </w:rPr>
        <w:t>2</w:t>
      </w:r>
      <w:r>
        <w:rPr>
          <w:rFonts w:hint="eastAsia" w:ascii="方正仿宋_GB2312" w:hAnsi="方正仿宋_GB2312" w:eastAsia="方正仿宋_GB2312" w:cs="Times New Roman"/>
          <w:b/>
          <w:bCs/>
          <w:kern w:val="0"/>
          <w:szCs w:val="32"/>
        </w:rPr>
        <w:t>.强化重点区域覆盖</w:t>
      </w:r>
    </w:p>
    <w:p w14:paraId="1A5E3CB9">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b/>
          <w:bCs/>
          <w:kern w:val="0"/>
          <w:szCs w:val="32"/>
        </w:rPr>
        <w:t>商业消费场景精准提质</w:t>
      </w:r>
      <w:r>
        <w:rPr>
          <w:rFonts w:hint="eastAsia" w:eastAsia="方正仿宋_GB2312" w:cs="Times New Roman"/>
          <w:b/>
          <w:bCs/>
          <w:kern w:val="0"/>
          <w:szCs w:val="32"/>
        </w:rPr>
        <w:t>。</w:t>
      </w:r>
      <w:r>
        <w:rPr>
          <w:rFonts w:hint="eastAsia" w:eastAsia="方正仿宋_GB2312" w:cs="Times New Roman"/>
          <w:kern w:val="0"/>
          <w:szCs w:val="32"/>
        </w:rPr>
        <w:t>现状商业配建停车场共有车位1920个、充电桩83台。</w:t>
      </w:r>
      <w:r>
        <w:rPr>
          <w:rFonts w:eastAsia="方正仿宋_GB2312" w:cs="Times New Roman"/>
          <w:kern w:val="0"/>
          <w:szCs w:val="32"/>
        </w:rPr>
        <w:t>针对万达广场、大武口步行街</w:t>
      </w:r>
      <w:r>
        <w:rPr>
          <w:rFonts w:hint="eastAsia" w:eastAsia="方正仿宋_GB2312" w:cs="Times New Roman"/>
          <w:kern w:val="0"/>
          <w:szCs w:val="32"/>
        </w:rPr>
        <w:t>、红柱子街</w:t>
      </w:r>
      <w:r>
        <w:rPr>
          <w:rFonts w:eastAsia="方正仿宋_GB2312" w:cs="Times New Roman"/>
          <w:kern w:val="0"/>
          <w:szCs w:val="32"/>
        </w:rPr>
        <w:t>等核心商圈停车流量大、充电需求集中的特点，推行</w:t>
      </w:r>
      <w:r>
        <w:rPr>
          <w:rFonts w:hint="eastAsia" w:eastAsia="方正仿宋_GB2312" w:cs="Times New Roman"/>
          <w:kern w:val="0"/>
          <w:szCs w:val="32"/>
        </w:rPr>
        <w:t>“</w:t>
      </w:r>
      <w:r>
        <w:rPr>
          <w:rFonts w:eastAsia="方正仿宋_GB2312" w:cs="Times New Roman"/>
          <w:kern w:val="0"/>
          <w:szCs w:val="32"/>
        </w:rPr>
        <w:t>快充为主、慢充</w:t>
      </w:r>
      <w:r>
        <w:rPr>
          <w:rFonts w:hint="eastAsia" w:eastAsia="方正仿宋_GB2312" w:cs="Times New Roman"/>
          <w:kern w:val="0"/>
          <w:szCs w:val="32"/>
        </w:rPr>
        <w:t>为辅”</w:t>
      </w:r>
      <w:r>
        <w:rPr>
          <w:rFonts w:eastAsia="方正仿宋_GB2312" w:cs="Times New Roman"/>
          <w:kern w:val="0"/>
          <w:szCs w:val="32"/>
        </w:rPr>
        <w:t>的混合布局模式，商业综合体配建充电车位比例不低于</w:t>
      </w:r>
      <w:r>
        <w:rPr>
          <w:rFonts w:hint="eastAsia" w:eastAsia="方正仿宋_GB2312" w:cs="Times New Roman"/>
          <w:kern w:val="0"/>
          <w:szCs w:val="32"/>
        </w:rPr>
        <w:t>10</w:t>
      </w:r>
      <w:r>
        <w:rPr>
          <w:rFonts w:eastAsia="方正仿宋_GB2312" w:cs="Times New Roman"/>
          <w:kern w:val="0"/>
          <w:szCs w:val="32"/>
        </w:rPr>
        <w:t>%，提升商圈周边充电饱和承载能力。</w:t>
      </w:r>
      <w:r>
        <w:rPr>
          <w:rFonts w:hint="eastAsia" w:eastAsia="方正仿宋_GB2312" w:cs="Times New Roman"/>
          <w:kern w:val="0"/>
          <w:szCs w:val="32"/>
        </w:rPr>
        <w:t>将配建公共充电桩的车位设置为新能源汽车专用车位，避免燃油车占用充电车位。</w:t>
      </w:r>
    </w:p>
    <w:p w14:paraId="328577C7">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b/>
          <w:bCs/>
          <w:kern w:val="0"/>
          <w:szCs w:val="32"/>
        </w:rPr>
        <w:t>公共服务场景全面覆盖</w:t>
      </w:r>
      <w:r>
        <w:rPr>
          <w:rFonts w:hint="eastAsia" w:eastAsia="方正仿宋_GB2312" w:cs="Times New Roman"/>
          <w:b/>
          <w:bCs/>
          <w:kern w:val="0"/>
          <w:szCs w:val="32"/>
        </w:rPr>
        <w:t>。</w:t>
      </w:r>
      <w:r>
        <w:rPr>
          <w:rFonts w:hint="eastAsia" w:eastAsia="方正仿宋_GB2312" w:cs="Times New Roman"/>
          <w:kern w:val="0"/>
          <w:szCs w:val="32"/>
        </w:rPr>
        <w:t>公共停车场</w:t>
      </w:r>
      <w:r>
        <w:rPr>
          <w:rFonts w:hint="eastAsia" w:eastAsia="方正仿宋_GB2312" w:cs="Times New Roman"/>
          <w:kern w:val="0"/>
          <w:szCs w:val="32"/>
          <w:lang w:eastAsia="zh-CN"/>
        </w:rPr>
        <w:t>现</w:t>
      </w:r>
      <w:r>
        <w:rPr>
          <w:rFonts w:hint="eastAsia" w:eastAsia="方正仿宋_GB2312" w:cs="Times New Roman"/>
          <w:kern w:val="0"/>
          <w:szCs w:val="32"/>
        </w:rPr>
        <w:t>有车位2555个、充电桩82台。加快推进既有公共停车场改造建设充电设施，结合城市更新、停车设施改扩建等工程，按照停车泊位不低于10%比例建设充电设施</w:t>
      </w:r>
      <w:r>
        <w:rPr>
          <w:rFonts w:eastAsia="方正仿宋_GB2312" w:cs="Times New Roman"/>
          <w:kern w:val="0"/>
          <w:szCs w:val="32"/>
        </w:rPr>
        <w:t>。</w:t>
      </w:r>
      <w:r>
        <w:rPr>
          <w:rFonts w:hint="eastAsia" w:eastAsia="方正仿宋_GB2312" w:cs="Times New Roman"/>
          <w:kern w:val="0"/>
          <w:szCs w:val="32"/>
        </w:rPr>
        <w:t>依托基建公司、宁夏银行、农村信用社等服务机构现有停车场，新增配件充电设施。结合中心城区公共停车场、商场及大型对外开放建筑物配建停车场等合建布设公共充电桩群。</w:t>
      </w:r>
    </w:p>
    <w:p w14:paraId="38870217">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b/>
          <w:bCs/>
          <w:kern w:val="0"/>
          <w:szCs w:val="32"/>
        </w:rPr>
        <w:t>单位内部场景示范引领。</w:t>
      </w:r>
      <w:r>
        <w:rPr>
          <w:rFonts w:hint="eastAsia" w:eastAsia="方正仿宋_GB2312" w:cs="Times New Roman"/>
          <w:kern w:val="0"/>
          <w:szCs w:val="32"/>
        </w:rPr>
        <w:t>大力推动党政机关、企事业单位、工业园区等内部停车场内部充电基础设施建设，按照停车泊位不低于20%比例建设充电设施，满足公务用车和私家车充电需要。鼓励单位和园区内部充电桩对外开放，提供公共充电服务。</w:t>
      </w:r>
    </w:p>
    <w:p w14:paraId="2FCA7A06">
      <w:pPr>
        <w:pageBreakBefore w:val="0"/>
        <w:kinsoku/>
        <w:wordWrap/>
        <w:overflowPunct/>
        <w:topLinePunct w:val="0"/>
        <w:autoSpaceDE/>
        <w:autoSpaceDN/>
        <w:bidi w:val="0"/>
        <w:adjustRightInd/>
        <w:snapToGrid/>
        <w:spacing w:line="560" w:lineRule="exact"/>
        <w:jc w:val="center"/>
        <w:rPr>
          <w:rFonts w:eastAsia="黑体" w:cs="Times New Roman"/>
          <w:sz w:val="28"/>
          <w:szCs w:val="28"/>
        </w:rPr>
      </w:pPr>
      <w:r>
        <w:rPr>
          <w:rFonts w:hint="eastAsia" w:eastAsia="黑体" w:cs="Times New Roman"/>
          <w:sz w:val="28"/>
          <w:szCs w:val="28"/>
        </w:rPr>
        <w:t>表3公共停车场充电设施建设统计表</w:t>
      </w:r>
    </w:p>
    <w:tbl>
      <w:tblPr>
        <w:tblStyle w:val="12"/>
        <w:tblW w:w="8620" w:type="dxa"/>
        <w:tblInd w:w="0" w:type="dxa"/>
        <w:tblLayout w:type="autofit"/>
        <w:tblCellMar>
          <w:top w:w="0" w:type="dxa"/>
          <w:left w:w="108" w:type="dxa"/>
          <w:bottom w:w="0" w:type="dxa"/>
          <w:right w:w="108" w:type="dxa"/>
        </w:tblCellMar>
      </w:tblPr>
      <w:tblGrid>
        <w:gridCol w:w="912"/>
        <w:gridCol w:w="912"/>
        <w:gridCol w:w="2324"/>
        <w:gridCol w:w="912"/>
        <w:gridCol w:w="912"/>
        <w:gridCol w:w="912"/>
        <w:gridCol w:w="1736"/>
      </w:tblGrid>
      <w:tr w14:paraId="309FB7ED">
        <w:tblPrEx>
          <w:tblCellMar>
            <w:top w:w="0" w:type="dxa"/>
            <w:left w:w="108" w:type="dxa"/>
            <w:bottom w:w="0" w:type="dxa"/>
            <w:right w:w="108" w:type="dxa"/>
          </w:tblCellMar>
        </w:tblPrEx>
        <w:trPr>
          <w:trHeight w:val="300" w:hRule="atLeast"/>
          <w:tblHeader/>
        </w:trPr>
        <w:tc>
          <w:tcPr>
            <w:tcW w:w="912" w:type="dxa"/>
            <w:tcBorders>
              <w:top w:val="single" w:color="auto" w:sz="8" w:space="0"/>
              <w:left w:val="single" w:color="auto" w:sz="8" w:space="0"/>
              <w:bottom w:val="single" w:color="auto" w:sz="8" w:space="0"/>
              <w:right w:val="single" w:color="auto" w:sz="8" w:space="0"/>
            </w:tcBorders>
            <w:noWrap/>
            <w:vAlign w:val="center"/>
          </w:tcPr>
          <w:p w14:paraId="18FD538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序号</w:t>
            </w:r>
          </w:p>
        </w:tc>
        <w:tc>
          <w:tcPr>
            <w:tcW w:w="912" w:type="dxa"/>
            <w:tcBorders>
              <w:top w:val="single" w:color="auto" w:sz="8" w:space="0"/>
              <w:left w:val="nil"/>
              <w:bottom w:val="single" w:color="auto" w:sz="8" w:space="0"/>
              <w:right w:val="single" w:color="auto" w:sz="8" w:space="0"/>
            </w:tcBorders>
            <w:noWrap/>
            <w:vAlign w:val="center"/>
          </w:tcPr>
          <w:p w14:paraId="49791FE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类型</w:t>
            </w:r>
          </w:p>
        </w:tc>
        <w:tc>
          <w:tcPr>
            <w:tcW w:w="2324" w:type="dxa"/>
            <w:tcBorders>
              <w:top w:val="single" w:color="auto" w:sz="8" w:space="0"/>
              <w:left w:val="nil"/>
              <w:bottom w:val="single" w:color="auto" w:sz="8" w:space="0"/>
              <w:right w:val="single" w:color="auto" w:sz="8" w:space="0"/>
            </w:tcBorders>
            <w:noWrap/>
            <w:vAlign w:val="center"/>
          </w:tcPr>
          <w:p w14:paraId="46C9C8E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充电站名称</w:t>
            </w:r>
          </w:p>
        </w:tc>
        <w:tc>
          <w:tcPr>
            <w:tcW w:w="912" w:type="dxa"/>
            <w:tcBorders>
              <w:top w:val="single" w:color="auto" w:sz="8" w:space="0"/>
              <w:left w:val="nil"/>
              <w:bottom w:val="single" w:color="auto" w:sz="8" w:space="0"/>
              <w:right w:val="single" w:color="auto" w:sz="8" w:space="0"/>
            </w:tcBorders>
            <w:noWrap/>
            <w:vAlign w:val="center"/>
          </w:tcPr>
          <w:p w14:paraId="462DBDB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车位数量（个）</w:t>
            </w:r>
          </w:p>
        </w:tc>
        <w:tc>
          <w:tcPr>
            <w:tcW w:w="912" w:type="dxa"/>
            <w:tcBorders>
              <w:top w:val="single" w:color="auto" w:sz="8" w:space="0"/>
              <w:left w:val="nil"/>
              <w:bottom w:val="single" w:color="auto" w:sz="8" w:space="0"/>
              <w:right w:val="single" w:color="auto" w:sz="8" w:space="0"/>
            </w:tcBorders>
            <w:noWrap/>
            <w:vAlign w:val="center"/>
          </w:tcPr>
          <w:p w14:paraId="63D3968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现状充电桩数量（台）</w:t>
            </w:r>
          </w:p>
        </w:tc>
        <w:tc>
          <w:tcPr>
            <w:tcW w:w="912" w:type="dxa"/>
            <w:tcBorders>
              <w:top w:val="single" w:color="auto" w:sz="8" w:space="0"/>
              <w:left w:val="nil"/>
              <w:bottom w:val="single" w:color="auto" w:sz="8" w:space="0"/>
              <w:right w:val="single" w:color="auto" w:sz="8" w:space="0"/>
            </w:tcBorders>
            <w:noWrap/>
            <w:vAlign w:val="center"/>
          </w:tcPr>
          <w:p w14:paraId="4742A7B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新增充电桩数量（台）</w:t>
            </w:r>
          </w:p>
        </w:tc>
        <w:tc>
          <w:tcPr>
            <w:tcW w:w="1736" w:type="dxa"/>
            <w:tcBorders>
              <w:top w:val="single" w:color="auto" w:sz="8" w:space="0"/>
              <w:left w:val="nil"/>
              <w:bottom w:val="single" w:color="auto" w:sz="8" w:space="0"/>
              <w:right w:val="single" w:color="auto" w:sz="8" w:space="0"/>
            </w:tcBorders>
            <w:noWrap/>
            <w:vAlign w:val="center"/>
          </w:tcPr>
          <w:p w14:paraId="6328D5D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总充电桩数量（台）</w:t>
            </w:r>
          </w:p>
        </w:tc>
      </w:tr>
      <w:tr w14:paraId="66B6FA25">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7A5FC26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w:t>
            </w:r>
          </w:p>
        </w:tc>
        <w:tc>
          <w:tcPr>
            <w:tcW w:w="912" w:type="dxa"/>
            <w:tcBorders>
              <w:top w:val="nil"/>
              <w:left w:val="nil"/>
              <w:bottom w:val="single" w:color="auto" w:sz="8" w:space="0"/>
              <w:right w:val="single" w:color="auto" w:sz="8" w:space="0"/>
            </w:tcBorders>
            <w:noWrap/>
            <w:vAlign w:val="center"/>
          </w:tcPr>
          <w:p w14:paraId="46B107C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1084904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义乌小商品城停车场</w:t>
            </w:r>
          </w:p>
        </w:tc>
        <w:tc>
          <w:tcPr>
            <w:tcW w:w="912" w:type="dxa"/>
            <w:tcBorders>
              <w:top w:val="nil"/>
              <w:left w:val="nil"/>
              <w:bottom w:val="single" w:color="auto" w:sz="8" w:space="0"/>
              <w:right w:val="single" w:color="auto" w:sz="8" w:space="0"/>
            </w:tcBorders>
            <w:noWrap/>
            <w:vAlign w:val="center"/>
          </w:tcPr>
          <w:p w14:paraId="48A08B2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53</w:t>
            </w:r>
          </w:p>
        </w:tc>
        <w:tc>
          <w:tcPr>
            <w:tcW w:w="912" w:type="dxa"/>
            <w:tcBorders>
              <w:top w:val="nil"/>
              <w:left w:val="nil"/>
              <w:bottom w:val="single" w:color="auto" w:sz="8" w:space="0"/>
              <w:right w:val="single" w:color="auto" w:sz="8" w:space="0"/>
            </w:tcBorders>
            <w:noWrap/>
            <w:vAlign w:val="center"/>
          </w:tcPr>
          <w:p w14:paraId="52062A7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5197B08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c>
          <w:tcPr>
            <w:tcW w:w="1736" w:type="dxa"/>
            <w:tcBorders>
              <w:top w:val="nil"/>
              <w:left w:val="nil"/>
              <w:bottom w:val="single" w:color="auto" w:sz="8" w:space="0"/>
              <w:right w:val="single" w:color="auto" w:sz="8" w:space="0"/>
            </w:tcBorders>
            <w:noWrap/>
            <w:vAlign w:val="center"/>
          </w:tcPr>
          <w:p w14:paraId="435D209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r>
      <w:tr w14:paraId="3D67BE73">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4A7425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w:t>
            </w:r>
          </w:p>
        </w:tc>
        <w:tc>
          <w:tcPr>
            <w:tcW w:w="912" w:type="dxa"/>
            <w:tcBorders>
              <w:top w:val="nil"/>
              <w:left w:val="nil"/>
              <w:bottom w:val="single" w:color="auto" w:sz="8" w:space="0"/>
              <w:right w:val="single" w:color="auto" w:sz="8" w:space="0"/>
            </w:tcBorders>
            <w:noWrap/>
            <w:vAlign w:val="center"/>
          </w:tcPr>
          <w:p w14:paraId="6FAA03A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685C543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百德隆停车场</w:t>
            </w:r>
          </w:p>
        </w:tc>
        <w:tc>
          <w:tcPr>
            <w:tcW w:w="912" w:type="dxa"/>
            <w:tcBorders>
              <w:top w:val="nil"/>
              <w:left w:val="nil"/>
              <w:bottom w:val="single" w:color="auto" w:sz="8" w:space="0"/>
              <w:right w:val="single" w:color="auto" w:sz="8" w:space="0"/>
            </w:tcBorders>
            <w:noWrap/>
            <w:vAlign w:val="center"/>
          </w:tcPr>
          <w:p w14:paraId="3917EE1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45</w:t>
            </w:r>
          </w:p>
        </w:tc>
        <w:tc>
          <w:tcPr>
            <w:tcW w:w="912" w:type="dxa"/>
            <w:tcBorders>
              <w:top w:val="nil"/>
              <w:left w:val="nil"/>
              <w:bottom w:val="single" w:color="auto" w:sz="8" w:space="0"/>
              <w:right w:val="single" w:color="auto" w:sz="8" w:space="0"/>
            </w:tcBorders>
            <w:noWrap/>
            <w:vAlign w:val="center"/>
          </w:tcPr>
          <w:p w14:paraId="6615CAF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w:t>
            </w:r>
          </w:p>
        </w:tc>
        <w:tc>
          <w:tcPr>
            <w:tcW w:w="912" w:type="dxa"/>
            <w:tcBorders>
              <w:top w:val="nil"/>
              <w:left w:val="nil"/>
              <w:bottom w:val="single" w:color="auto" w:sz="8" w:space="0"/>
              <w:right w:val="single" w:color="auto" w:sz="8" w:space="0"/>
            </w:tcBorders>
            <w:noWrap/>
            <w:vAlign w:val="center"/>
          </w:tcPr>
          <w:p w14:paraId="6D181AB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c>
          <w:tcPr>
            <w:tcW w:w="1736" w:type="dxa"/>
            <w:tcBorders>
              <w:top w:val="nil"/>
              <w:left w:val="nil"/>
              <w:bottom w:val="single" w:color="auto" w:sz="8" w:space="0"/>
              <w:right w:val="single" w:color="auto" w:sz="8" w:space="0"/>
            </w:tcBorders>
            <w:noWrap/>
            <w:vAlign w:val="center"/>
          </w:tcPr>
          <w:p w14:paraId="50C5555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r>
      <w:tr w14:paraId="16A7B04C">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5002256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c>
          <w:tcPr>
            <w:tcW w:w="912" w:type="dxa"/>
            <w:tcBorders>
              <w:top w:val="nil"/>
              <w:left w:val="nil"/>
              <w:bottom w:val="single" w:color="auto" w:sz="8" w:space="0"/>
              <w:right w:val="single" w:color="auto" w:sz="8" w:space="0"/>
            </w:tcBorders>
            <w:noWrap/>
            <w:vAlign w:val="center"/>
          </w:tcPr>
          <w:p w14:paraId="7D62DD2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54CA119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君悦锦秀停车场</w:t>
            </w:r>
          </w:p>
        </w:tc>
        <w:tc>
          <w:tcPr>
            <w:tcW w:w="912" w:type="dxa"/>
            <w:tcBorders>
              <w:top w:val="nil"/>
              <w:left w:val="nil"/>
              <w:bottom w:val="single" w:color="auto" w:sz="8" w:space="0"/>
              <w:right w:val="single" w:color="auto" w:sz="8" w:space="0"/>
            </w:tcBorders>
            <w:noWrap/>
            <w:vAlign w:val="center"/>
          </w:tcPr>
          <w:p w14:paraId="6712403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180</w:t>
            </w:r>
          </w:p>
        </w:tc>
        <w:tc>
          <w:tcPr>
            <w:tcW w:w="912" w:type="dxa"/>
            <w:tcBorders>
              <w:top w:val="nil"/>
              <w:left w:val="nil"/>
              <w:bottom w:val="single" w:color="auto" w:sz="8" w:space="0"/>
              <w:right w:val="single" w:color="auto" w:sz="8" w:space="0"/>
            </w:tcBorders>
            <w:noWrap/>
            <w:vAlign w:val="center"/>
          </w:tcPr>
          <w:p w14:paraId="4237A20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w:t>
            </w:r>
          </w:p>
        </w:tc>
        <w:tc>
          <w:tcPr>
            <w:tcW w:w="912" w:type="dxa"/>
            <w:tcBorders>
              <w:top w:val="nil"/>
              <w:left w:val="nil"/>
              <w:bottom w:val="single" w:color="auto" w:sz="8" w:space="0"/>
              <w:right w:val="single" w:color="auto" w:sz="8" w:space="0"/>
            </w:tcBorders>
            <w:noWrap/>
            <w:vAlign w:val="center"/>
          </w:tcPr>
          <w:p w14:paraId="6B4FCB0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1736" w:type="dxa"/>
            <w:tcBorders>
              <w:top w:val="nil"/>
              <w:left w:val="nil"/>
              <w:bottom w:val="single" w:color="auto" w:sz="8" w:space="0"/>
              <w:right w:val="single" w:color="auto" w:sz="8" w:space="0"/>
            </w:tcBorders>
            <w:noWrap/>
            <w:vAlign w:val="center"/>
          </w:tcPr>
          <w:p w14:paraId="6F2C6EE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w:t>
            </w:r>
          </w:p>
        </w:tc>
      </w:tr>
      <w:tr w14:paraId="2AC318A2">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3A230A6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w:t>
            </w:r>
          </w:p>
        </w:tc>
        <w:tc>
          <w:tcPr>
            <w:tcW w:w="912" w:type="dxa"/>
            <w:tcBorders>
              <w:top w:val="nil"/>
              <w:left w:val="nil"/>
              <w:bottom w:val="single" w:color="auto" w:sz="8" w:space="0"/>
              <w:right w:val="single" w:color="auto" w:sz="8" w:space="0"/>
            </w:tcBorders>
            <w:noWrap/>
            <w:vAlign w:val="center"/>
          </w:tcPr>
          <w:p w14:paraId="6D5222F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03148E5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荣达都市花园鑫三森停车场</w:t>
            </w:r>
          </w:p>
        </w:tc>
        <w:tc>
          <w:tcPr>
            <w:tcW w:w="912" w:type="dxa"/>
            <w:tcBorders>
              <w:top w:val="nil"/>
              <w:left w:val="nil"/>
              <w:bottom w:val="single" w:color="auto" w:sz="8" w:space="0"/>
              <w:right w:val="single" w:color="auto" w:sz="8" w:space="0"/>
            </w:tcBorders>
            <w:noWrap/>
            <w:vAlign w:val="center"/>
          </w:tcPr>
          <w:p w14:paraId="46A5580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60</w:t>
            </w:r>
          </w:p>
        </w:tc>
        <w:tc>
          <w:tcPr>
            <w:tcW w:w="912" w:type="dxa"/>
            <w:tcBorders>
              <w:top w:val="nil"/>
              <w:left w:val="nil"/>
              <w:bottom w:val="single" w:color="auto" w:sz="8" w:space="0"/>
              <w:right w:val="single" w:color="auto" w:sz="8" w:space="0"/>
            </w:tcBorders>
            <w:noWrap/>
            <w:vAlign w:val="center"/>
          </w:tcPr>
          <w:p w14:paraId="502ED5C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2FCBAD2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9</w:t>
            </w:r>
          </w:p>
        </w:tc>
        <w:tc>
          <w:tcPr>
            <w:tcW w:w="1736" w:type="dxa"/>
            <w:tcBorders>
              <w:top w:val="nil"/>
              <w:left w:val="nil"/>
              <w:bottom w:val="single" w:color="auto" w:sz="8" w:space="0"/>
              <w:right w:val="single" w:color="auto" w:sz="8" w:space="0"/>
            </w:tcBorders>
            <w:noWrap/>
            <w:vAlign w:val="center"/>
          </w:tcPr>
          <w:p w14:paraId="33BE68B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9</w:t>
            </w:r>
          </w:p>
        </w:tc>
      </w:tr>
      <w:tr w14:paraId="20AC6A49">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994B98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912" w:type="dxa"/>
            <w:tcBorders>
              <w:top w:val="nil"/>
              <w:left w:val="nil"/>
              <w:bottom w:val="single" w:color="auto" w:sz="8" w:space="0"/>
              <w:right w:val="single" w:color="auto" w:sz="8" w:space="0"/>
            </w:tcBorders>
            <w:noWrap/>
            <w:vAlign w:val="center"/>
          </w:tcPr>
          <w:p w14:paraId="799E05C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3E504A5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百花市场停车场（2个）</w:t>
            </w:r>
          </w:p>
        </w:tc>
        <w:tc>
          <w:tcPr>
            <w:tcW w:w="912" w:type="dxa"/>
            <w:tcBorders>
              <w:top w:val="nil"/>
              <w:left w:val="nil"/>
              <w:bottom w:val="single" w:color="auto" w:sz="8" w:space="0"/>
              <w:right w:val="single" w:color="auto" w:sz="8" w:space="0"/>
            </w:tcBorders>
            <w:noWrap/>
            <w:vAlign w:val="center"/>
          </w:tcPr>
          <w:p w14:paraId="29406AC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120</w:t>
            </w:r>
          </w:p>
        </w:tc>
        <w:tc>
          <w:tcPr>
            <w:tcW w:w="912" w:type="dxa"/>
            <w:tcBorders>
              <w:top w:val="nil"/>
              <w:left w:val="nil"/>
              <w:bottom w:val="single" w:color="auto" w:sz="8" w:space="0"/>
              <w:right w:val="single" w:color="auto" w:sz="8" w:space="0"/>
            </w:tcBorders>
            <w:noWrap/>
            <w:vAlign w:val="center"/>
          </w:tcPr>
          <w:p w14:paraId="274D549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5CB23DA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w:t>
            </w:r>
          </w:p>
        </w:tc>
        <w:tc>
          <w:tcPr>
            <w:tcW w:w="1736" w:type="dxa"/>
            <w:tcBorders>
              <w:top w:val="nil"/>
              <w:left w:val="nil"/>
              <w:bottom w:val="single" w:color="auto" w:sz="8" w:space="0"/>
              <w:right w:val="single" w:color="auto" w:sz="8" w:space="0"/>
            </w:tcBorders>
            <w:noWrap/>
            <w:vAlign w:val="center"/>
          </w:tcPr>
          <w:p w14:paraId="3CF5117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w:t>
            </w:r>
          </w:p>
        </w:tc>
      </w:tr>
      <w:tr w14:paraId="5D5F16F6">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1763AC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c>
          <w:tcPr>
            <w:tcW w:w="912" w:type="dxa"/>
            <w:tcBorders>
              <w:top w:val="nil"/>
              <w:left w:val="nil"/>
              <w:bottom w:val="single" w:color="auto" w:sz="8" w:space="0"/>
              <w:right w:val="single" w:color="auto" w:sz="8" w:space="0"/>
            </w:tcBorders>
            <w:noWrap/>
            <w:vAlign w:val="center"/>
          </w:tcPr>
          <w:p w14:paraId="7FB8B57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6C1738C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富源旺角停车场</w:t>
            </w:r>
          </w:p>
        </w:tc>
        <w:tc>
          <w:tcPr>
            <w:tcW w:w="912" w:type="dxa"/>
            <w:tcBorders>
              <w:top w:val="nil"/>
              <w:left w:val="nil"/>
              <w:bottom w:val="single" w:color="auto" w:sz="8" w:space="0"/>
              <w:right w:val="single" w:color="auto" w:sz="8" w:space="0"/>
            </w:tcBorders>
            <w:noWrap/>
            <w:vAlign w:val="center"/>
          </w:tcPr>
          <w:p w14:paraId="51EAF9E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w:t>
            </w:r>
          </w:p>
        </w:tc>
        <w:tc>
          <w:tcPr>
            <w:tcW w:w="912" w:type="dxa"/>
            <w:tcBorders>
              <w:top w:val="nil"/>
              <w:left w:val="nil"/>
              <w:bottom w:val="single" w:color="auto" w:sz="8" w:space="0"/>
              <w:right w:val="single" w:color="auto" w:sz="8" w:space="0"/>
            </w:tcBorders>
            <w:noWrap/>
            <w:vAlign w:val="center"/>
          </w:tcPr>
          <w:p w14:paraId="3E81B5E9">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112C7ED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7309E33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2430439F">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400D4F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c>
          <w:tcPr>
            <w:tcW w:w="912" w:type="dxa"/>
            <w:tcBorders>
              <w:top w:val="nil"/>
              <w:left w:val="nil"/>
              <w:bottom w:val="single" w:color="auto" w:sz="8" w:space="0"/>
              <w:right w:val="single" w:color="auto" w:sz="8" w:space="0"/>
            </w:tcBorders>
            <w:noWrap/>
            <w:vAlign w:val="center"/>
          </w:tcPr>
          <w:p w14:paraId="4EF74D1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055562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民乐小区停车场</w:t>
            </w:r>
          </w:p>
        </w:tc>
        <w:tc>
          <w:tcPr>
            <w:tcW w:w="912" w:type="dxa"/>
            <w:tcBorders>
              <w:top w:val="nil"/>
              <w:left w:val="nil"/>
              <w:bottom w:val="single" w:color="auto" w:sz="8" w:space="0"/>
              <w:right w:val="single" w:color="auto" w:sz="8" w:space="0"/>
            </w:tcBorders>
            <w:noWrap/>
            <w:vAlign w:val="center"/>
          </w:tcPr>
          <w:p w14:paraId="64D6039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105</w:t>
            </w:r>
          </w:p>
        </w:tc>
        <w:tc>
          <w:tcPr>
            <w:tcW w:w="912" w:type="dxa"/>
            <w:tcBorders>
              <w:top w:val="nil"/>
              <w:left w:val="nil"/>
              <w:bottom w:val="single" w:color="auto" w:sz="8" w:space="0"/>
              <w:right w:val="single" w:color="auto" w:sz="8" w:space="0"/>
            </w:tcBorders>
            <w:noWrap/>
            <w:vAlign w:val="center"/>
          </w:tcPr>
          <w:p w14:paraId="0155466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c>
          <w:tcPr>
            <w:tcW w:w="912" w:type="dxa"/>
            <w:tcBorders>
              <w:top w:val="nil"/>
              <w:left w:val="nil"/>
              <w:bottom w:val="single" w:color="auto" w:sz="8" w:space="0"/>
              <w:right w:val="single" w:color="auto" w:sz="8" w:space="0"/>
            </w:tcBorders>
            <w:noWrap/>
            <w:vAlign w:val="center"/>
          </w:tcPr>
          <w:p w14:paraId="3F7B81C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9</w:t>
            </w:r>
          </w:p>
        </w:tc>
        <w:tc>
          <w:tcPr>
            <w:tcW w:w="1736" w:type="dxa"/>
            <w:tcBorders>
              <w:top w:val="nil"/>
              <w:left w:val="nil"/>
              <w:bottom w:val="single" w:color="auto" w:sz="8" w:space="0"/>
              <w:right w:val="single" w:color="auto" w:sz="8" w:space="0"/>
            </w:tcBorders>
            <w:noWrap/>
            <w:vAlign w:val="center"/>
          </w:tcPr>
          <w:p w14:paraId="002EF31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16</w:t>
            </w:r>
          </w:p>
        </w:tc>
      </w:tr>
      <w:tr w14:paraId="35E8562C">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A9F002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c>
          <w:tcPr>
            <w:tcW w:w="912" w:type="dxa"/>
            <w:tcBorders>
              <w:top w:val="nil"/>
              <w:left w:val="nil"/>
              <w:bottom w:val="single" w:color="auto" w:sz="8" w:space="0"/>
              <w:right w:val="single" w:color="auto" w:sz="8" w:space="0"/>
            </w:tcBorders>
            <w:noWrap/>
            <w:vAlign w:val="center"/>
          </w:tcPr>
          <w:p w14:paraId="70D6CFA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7BE85B6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汉唐停车场</w:t>
            </w:r>
          </w:p>
        </w:tc>
        <w:tc>
          <w:tcPr>
            <w:tcW w:w="912" w:type="dxa"/>
            <w:tcBorders>
              <w:top w:val="nil"/>
              <w:left w:val="nil"/>
              <w:bottom w:val="single" w:color="auto" w:sz="8" w:space="0"/>
              <w:right w:val="single" w:color="auto" w:sz="8" w:space="0"/>
            </w:tcBorders>
            <w:noWrap/>
            <w:vAlign w:val="center"/>
          </w:tcPr>
          <w:p w14:paraId="1C0791C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52</w:t>
            </w:r>
          </w:p>
        </w:tc>
        <w:tc>
          <w:tcPr>
            <w:tcW w:w="912" w:type="dxa"/>
            <w:tcBorders>
              <w:top w:val="nil"/>
              <w:left w:val="nil"/>
              <w:bottom w:val="single" w:color="auto" w:sz="8" w:space="0"/>
              <w:right w:val="single" w:color="auto" w:sz="8" w:space="0"/>
            </w:tcBorders>
            <w:noWrap/>
            <w:vAlign w:val="center"/>
          </w:tcPr>
          <w:p w14:paraId="69714A6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3A401E9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c>
          <w:tcPr>
            <w:tcW w:w="1736" w:type="dxa"/>
            <w:tcBorders>
              <w:top w:val="nil"/>
              <w:left w:val="nil"/>
              <w:bottom w:val="single" w:color="auto" w:sz="8" w:space="0"/>
              <w:right w:val="single" w:color="auto" w:sz="8" w:space="0"/>
            </w:tcBorders>
            <w:noWrap/>
            <w:vAlign w:val="center"/>
          </w:tcPr>
          <w:p w14:paraId="48E28A8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r>
      <w:tr w14:paraId="264EECDF">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D3EB1A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9</w:t>
            </w:r>
          </w:p>
        </w:tc>
        <w:tc>
          <w:tcPr>
            <w:tcW w:w="912" w:type="dxa"/>
            <w:tcBorders>
              <w:top w:val="nil"/>
              <w:left w:val="nil"/>
              <w:bottom w:val="single" w:color="auto" w:sz="8" w:space="0"/>
              <w:right w:val="single" w:color="auto" w:sz="8" w:space="0"/>
            </w:tcBorders>
            <w:noWrap/>
            <w:vAlign w:val="center"/>
          </w:tcPr>
          <w:p w14:paraId="5931003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47E24DE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区供电局停车场</w:t>
            </w:r>
          </w:p>
        </w:tc>
        <w:tc>
          <w:tcPr>
            <w:tcW w:w="912" w:type="dxa"/>
            <w:tcBorders>
              <w:top w:val="nil"/>
              <w:left w:val="nil"/>
              <w:bottom w:val="single" w:color="auto" w:sz="8" w:space="0"/>
              <w:right w:val="single" w:color="auto" w:sz="8" w:space="0"/>
            </w:tcBorders>
            <w:noWrap/>
            <w:vAlign w:val="center"/>
          </w:tcPr>
          <w:p w14:paraId="4FD4079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43</w:t>
            </w:r>
          </w:p>
        </w:tc>
        <w:tc>
          <w:tcPr>
            <w:tcW w:w="912" w:type="dxa"/>
            <w:tcBorders>
              <w:top w:val="nil"/>
              <w:left w:val="nil"/>
              <w:bottom w:val="single" w:color="auto" w:sz="8" w:space="0"/>
              <w:right w:val="single" w:color="auto" w:sz="8" w:space="0"/>
            </w:tcBorders>
            <w:noWrap/>
            <w:vAlign w:val="center"/>
          </w:tcPr>
          <w:p w14:paraId="1433EFD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c>
          <w:tcPr>
            <w:tcW w:w="912" w:type="dxa"/>
            <w:tcBorders>
              <w:top w:val="nil"/>
              <w:left w:val="nil"/>
              <w:bottom w:val="single" w:color="auto" w:sz="8" w:space="0"/>
              <w:right w:val="single" w:color="auto" w:sz="8" w:space="0"/>
            </w:tcBorders>
            <w:noWrap/>
            <w:vAlign w:val="center"/>
          </w:tcPr>
          <w:p w14:paraId="2783F51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c>
          <w:tcPr>
            <w:tcW w:w="1736" w:type="dxa"/>
            <w:tcBorders>
              <w:top w:val="nil"/>
              <w:left w:val="nil"/>
              <w:bottom w:val="single" w:color="auto" w:sz="8" w:space="0"/>
              <w:right w:val="single" w:color="auto" w:sz="8" w:space="0"/>
            </w:tcBorders>
            <w:noWrap/>
            <w:vAlign w:val="center"/>
          </w:tcPr>
          <w:p w14:paraId="0C5EA79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w:t>
            </w:r>
          </w:p>
        </w:tc>
      </w:tr>
      <w:tr w14:paraId="7C1AFB6E">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3CE1EB4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w:t>
            </w:r>
          </w:p>
        </w:tc>
        <w:tc>
          <w:tcPr>
            <w:tcW w:w="912" w:type="dxa"/>
            <w:tcBorders>
              <w:top w:val="nil"/>
              <w:left w:val="nil"/>
              <w:bottom w:val="single" w:color="auto" w:sz="8" w:space="0"/>
              <w:right w:val="single" w:color="auto" w:sz="8" w:space="0"/>
            </w:tcBorders>
            <w:noWrap/>
            <w:vAlign w:val="center"/>
          </w:tcPr>
          <w:p w14:paraId="420BA21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5357098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青山公园停车场</w:t>
            </w:r>
          </w:p>
        </w:tc>
        <w:tc>
          <w:tcPr>
            <w:tcW w:w="912" w:type="dxa"/>
            <w:tcBorders>
              <w:top w:val="nil"/>
              <w:left w:val="nil"/>
              <w:bottom w:val="single" w:color="auto" w:sz="8" w:space="0"/>
              <w:right w:val="single" w:color="auto" w:sz="8" w:space="0"/>
            </w:tcBorders>
            <w:noWrap/>
            <w:vAlign w:val="center"/>
          </w:tcPr>
          <w:p w14:paraId="4D15557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57</w:t>
            </w:r>
          </w:p>
        </w:tc>
        <w:tc>
          <w:tcPr>
            <w:tcW w:w="912" w:type="dxa"/>
            <w:tcBorders>
              <w:top w:val="nil"/>
              <w:left w:val="nil"/>
              <w:bottom w:val="single" w:color="auto" w:sz="8" w:space="0"/>
              <w:right w:val="single" w:color="auto" w:sz="8" w:space="0"/>
            </w:tcBorders>
            <w:noWrap/>
            <w:vAlign w:val="center"/>
          </w:tcPr>
          <w:p w14:paraId="467C6C6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w:t>
            </w:r>
          </w:p>
        </w:tc>
        <w:tc>
          <w:tcPr>
            <w:tcW w:w="912" w:type="dxa"/>
            <w:tcBorders>
              <w:top w:val="nil"/>
              <w:left w:val="nil"/>
              <w:bottom w:val="single" w:color="auto" w:sz="8" w:space="0"/>
              <w:right w:val="single" w:color="auto" w:sz="8" w:space="0"/>
            </w:tcBorders>
            <w:noWrap/>
            <w:vAlign w:val="center"/>
          </w:tcPr>
          <w:p w14:paraId="2E5791C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1736" w:type="dxa"/>
            <w:tcBorders>
              <w:top w:val="nil"/>
              <w:left w:val="nil"/>
              <w:bottom w:val="single" w:color="auto" w:sz="8" w:space="0"/>
              <w:right w:val="single" w:color="auto" w:sz="8" w:space="0"/>
            </w:tcBorders>
            <w:noWrap/>
            <w:vAlign w:val="center"/>
          </w:tcPr>
          <w:p w14:paraId="7080110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w:t>
            </w:r>
          </w:p>
        </w:tc>
      </w:tr>
      <w:tr w14:paraId="5A0C17D3">
        <w:tblPrEx>
          <w:tblCellMar>
            <w:top w:w="0" w:type="dxa"/>
            <w:left w:w="108" w:type="dxa"/>
            <w:bottom w:w="0" w:type="dxa"/>
            <w:right w:w="108" w:type="dxa"/>
          </w:tblCellMar>
        </w:tblPrEx>
        <w:trPr>
          <w:trHeight w:val="860" w:hRule="atLeast"/>
        </w:trPr>
        <w:tc>
          <w:tcPr>
            <w:tcW w:w="912" w:type="dxa"/>
            <w:tcBorders>
              <w:top w:val="nil"/>
              <w:left w:val="single" w:color="auto" w:sz="8" w:space="0"/>
              <w:bottom w:val="single" w:color="auto" w:sz="8" w:space="0"/>
              <w:right w:val="single" w:color="auto" w:sz="8" w:space="0"/>
            </w:tcBorders>
            <w:noWrap/>
            <w:vAlign w:val="center"/>
          </w:tcPr>
          <w:p w14:paraId="322CB7C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11</w:t>
            </w:r>
          </w:p>
        </w:tc>
        <w:tc>
          <w:tcPr>
            <w:tcW w:w="912" w:type="dxa"/>
            <w:tcBorders>
              <w:top w:val="nil"/>
              <w:left w:val="nil"/>
              <w:bottom w:val="single" w:color="auto" w:sz="8" w:space="0"/>
              <w:right w:val="single" w:color="auto" w:sz="8" w:space="0"/>
            </w:tcBorders>
            <w:noWrap/>
            <w:vAlign w:val="center"/>
          </w:tcPr>
          <w:p w14:paraId="78922646">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19D3505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万达广场</w:t>
            </w:r>
          </w:p>
        </w:tc>
        <w:tc>
          <w:tcPr>
            <w:tcW w:w="912" w:type="dxa"/>
            <w:tcBorders>
              <w:top w:val="nil"/>
              <w:left w:val="nil"/>
              <w:bottom w:val="single" w:color="auto" w:sz="8" w:space="0"/>
              <w:right w:val="single" w:color="auto" w:sz="8" w:space="0"/>
            </w:tcBorders>
            <w:noWrap/>
            <w:vAlign w:val="center"/>
          </w:tcPr>
          <w:p w14:paraId="5ABE6F8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650</w:t>
            </w:r>
          </w:p>
        </w:tc>
        <w:tc>
          <w:tcPr>
            <w:tcW w:w="912" w:type="dxa"/>
            <w:tcBorders>
              <w:top w:val="nil"/>
              <w:left w:val="nil"/>
              <w:bottom w:val="single" w:color="auto" w:sz="8" w:space="0"/>
              <w:right w:val="single" w:color="auto" w:sz="8" w:space="0"/>
            </w:tcBorders>
            <w:noWrap/>
            <w:vAlign w:val="center"/>
          </w:tcPr>
          <w:p w14:paraId="56C957E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32</w:t>
            </w:r>
          </w:p>
        </w:tc>
        <w:tc>
          <w:tcPr>
            <w:tcW w:w="912" w:type="dxa"/>
            <w:tcBorders>
              <w:top w:val="nil"/>
              <w:left w:val="nil"/>
              <w:bottom w:val="single" w:color="auto" w:sz="8" w:space="0"/>
              <w:right w:val="single" w:color="auto" w:sz="8" w:space="0"/>
            </w:tcBorders>
            <w:noWrap/>
            <w:vAlign w:val="center"/>
          </w:tcPr>
          <w:p w14:paraId="053ED65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1736" w:type="dxa"/>
            <w:tcBorders>
              <w:top w:val="nil"/>
              <w:left w:val="nil"/>
              <w:bottom w:val="single" w:color="auto" w:sz="8" w:space="0"/>
              <w:right w:val="single" w:color="auto" w:sz="8" w:space="0"/>
            </w:tcBorders>
            <w:noWrap/>
            <w:vAlign w:val="center"/>
          </w:tcPr>
          <w:p w14:paraId="56B0DC9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32</w:t>
            </w:r>
          </w:p>
        </w:tc>
      </w:tr>
      <w:tr w14:paraId="6CE4E4A3">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CFADA9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w:t>
            </w:r>
          </w:p>
        </w:tc>
        <w:tc>
          <w:tcPr>
            <w:tcW w:w="912" w:type="dxa"/>
            <w:tcBorders>
              <w:top w:val="nil"/>
              <w:left w:val="nil"/>
              <w:bottom w:val="single" w:color="auto" w:sz="8" w:space="0"/>
              <w:right w:val="single" w:color="auto" w:sz="8" w:space="0"/>
            </w:tcBorders>
            <w:noWrap/>
            <w:vAlign w:val="center"/>
          </w:tcPr>
          <w:p w14:paraId="5EA16E2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720BEC6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格林家居广场</w:t>
            </w:r>
          </w:p>
        </w:tc>
        <w:tc>
          <w:tcPr>
            <w:tcW w:w="912" w:type="dxa"/>
            <w:tcBorders>
              <w:top w:val="nil"/>
              <w:left w:val="nil"/>
              <w:bottom w:val="single" w:color="auto" w:sz="8" w:space="0"/>
              <w:right w:val="single" w:color="auto" w:sz="8" w:space="0"/>
            </w:tcBorders>
            <w:noWrap/>
            <w:vAlign w:val="center"/>
          </w:tcPr>
          <w:p w14:paraId="4E79905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80</w:t>
            </w:r>
          </w:p>
        </w:tc>
        <w:tc>
          <w:tcPr>
            <w:tcW w:w="912" w:type="dxa"/>
            <w:tcBorders>
              <w:top w:val="nil"/>
              <w:left w:val="nil"/>
              <w:bottom w:val="single" w:color="auto" w:sz="8" w:space="0"/>
              <w:right w:val="single" w:color="auto" w:sz="8" w:space="0"/>
            </w:tcBorders>
            <w:noWrap/>
            <w:vAlign w:val="center"/>
          </w:tcPr>
          <w:p w14:paraId="28A296B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007BFCA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w:t>
            </w:r>
          </w:p>
        </w:tc>
        <w:tc>
          <w:tcPr>
            <w:tcW w:w="1736" w:type="dxa"/>
            <w:tcBorders>
              <w:top w:val="nil"/>
              <w:left w:val="nil"/>
              <w:bottom w:val="single" w:color="auto" w:sz="8" w:space="0"/>
              <w:right w:val="single" w:color="auto" w:sz="8" w:space="0"/>
            </w:tcBorders>
            <w:noWrap/>
            <w:vAlign w:val="center"/>
          </w:tcPr>
          <w:p w14:paraId="2F97C81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w:t>
            </w:r>
          </w:p>
        </w:tc>
      </w:tr>
      <w:tr w14:paraId="15478159">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424405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13</w:t>
            </w:r>
          </w:p>
        </w:tc>
        <w:tc>
          <w:tcPr>
            <w:tcW w:w="912" w:type="dxa"/>
            <w:tcBorders>
              <w:top w:val="nil"/>
              <w:left w:val="nil"/>
              <w:bottom w:val="single" w:color="auto" w:sz="8" w:space="0"/>
              <w:right w:val="single" w:color="auto" w:sz="8" w:space="0"/>
            </w:tcBorders>
            <w:noWrap/>
            <w:vAlign w:val="center"/>
          </w:tcPr>
          <w:p w14:paraId="1DC4C98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2174394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隆兴商业广场</w:t>
            </w:r>
          </w:p>
        </w:tc>
        <w:tc>
          <w:tcPr>
            <w:tcW w:w="912" w:type="dxa"/>
            <w:tcBorders>
              <w:top w:val="nil"/>
              <w:left w:val="nil"/>
              <w:bottom w:val="single" w:color="auto" w:sz="8" w:space="0"/>
              <w:right w:val="single" w:color="auto" w:sz="8" w:space="0"/>
            </w:tcBorders>
            <w:noWrap/>
            <w:vAlign w:val="center"/>
          </w:tcPr>
          <w:p w14:paraId="02C62E9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60</w:t>
            </w:r>
          </w:p>
        </w:tc>
        <w:tc>
          <w:tcPr>
            <w:tcW w:w="912" w:type="dxa"/>
            <w:tcBorders>
              <w:top w:val="nil"/>
              <w:left w:val="nil"/>
              <w:bottom w:val="single" w:color="auto" w:sz="8" w:space="0"/>
              <w:right w:val="single" w:color="auto" w:sz="8" w:space="0"/>
            </w:tcBorders>
            <w:noWrap/>
            <w:vAlign w:val="center"/>
          </w:tcPr>
          <w:p w14:paraId="07F6098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c>
          <w:tcPr>
            <w:tcW w:w="912" w:type="dxa"/>
            <w:tcBorders>
              <w:top w:val="nil"/>
              <w:left w:val="nil"/>
              <w:bottom w:val="single" w:color="auto" w:sz="8" w:space="0"/>
              <w:right w:val="single" w:color="auto" w:sz="8" w:space="0"/>
            </w:tcBorders>
            <w:noWrap/>
            <w:vAlign w:val="center"/>
          </w:tcPr>
          <w:p w14:paraId="04D791F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c>
          <w:tcPr>
            <w:tcW w:w="1736" w:type="dxa"/>
            <w:tcBorders>
              <w:top w:val="nil"/>
              <w:left w:val="nil"/>
              <w:bottom w:val="single" w:color="auto" w:sz="8" w:space="0"/>
              <w:right w:val="single" w:color="auto" w:sz="8" w:space="0"/>
            </w:tcBorders>
            <w:noWrap/>
            <w:vAlign w:val="center"/>
          </w:tcPr>
          <w:p w14:paraId="5D07F4C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9</w:t>
            </w:r>
          </w:p>
        </w:tc>
      </w:tr>
      <w:tr w14:paraId="53EA50E5">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7339DF3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14</w:t>
            </w:r>
          </w:p>
        </w:tc>
        <w:tc>
          <w:tcPr>
            <w:tcW w:w="912" w:type="dxa"/>
            <w:tcBorders>
              <w:top w:val="nil"/>
              <w:left w:val="nil"/>
              <w:bottom w:val="single" w:color="auto" w:sz="8" w:space="0"/>
              <w:right w:val="single" w:color="auto" w:sz="8" w:space="0"/>
            </w:tcBorders>
            <w:noWrap/>
            <w:vAlign w:val="center"/>
          </w:tcPr>
          <w:p w14:paraId="0E3611F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4B5AD18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世纪金秋商场停车场</w:t>
            </w:r>
          </w:p>
        </w:tc>
        <w:tc>
          <w:tcPr>
            <w:tcW w:w="912" w:type="dxa"/>
            <w:tcBorders>
              <w:top w:val="nil"/>
              <w:left w:val="nil"/>
              <w:bottom w:val="single" w:color="auto" w:sz="8" w:space="0"/>
              <w:right w:val="single" w:color="auto" w:sz="8" w:space="0"/>
            </w:tcBorders>
            <w:noWrap/>
            <w:vAlign w:val="center"/>
          </w:tcPr>
          <w:p w14:paraId="7624B10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150</w:t>
            </w:r>
          </w:p>
        </w:tc>
        <w:tc>
          <w:tcPr>
            <w:tcW w:w="912" w:type="dxa"/>
            <w:tcBorders>
              <w:top w:val="nil"/>
              <w:left w:val="nil"/>
              <w:bottom w:val="single" w:color="auto" w:sz="8" w:space="0"/>
              <w:right w:val="single" w:color="auto" w:sz="8" w:space="0"/>
            </w:tcBorders>
            <w:noWrap/>
            <w:vAlign w:val="center"/>
          </w:tcPr>
          <w:p w14:paraId="78A8785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721C915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23</w:t>
            </w:r>
          </w:p>
        </w:tc>
        <w:tc>
          <w:tcPr>
            <w:tcW w:w="1736" w:type="dxa"/>
            <w:tcBorders>
              <w:top w:val="nil"/>
              <w:left w:val="nil"/>
              <w:bottom w:val="single" w:color="auto" w:sz="8" w:space="0"/>
              <w:right w:val="single" w:color="auto" w:sz="8" w:space="0"/>
            </w:tcBorders>
            <w:noWrap/>
            <w:vAlign w:val="center"/>
          </w:tcPr>
          <w:p w14:paraId="4D01AA2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23</w:t>
            </w:r>
          </w:p>
        </w:tc>
      </w:tr>
      <w:tr w14:paraId="4E36ADAE">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5F2E452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15</w:t>
            </w:r>
          </w:p>
        </w:tc>
        <w:tc>
          <w:tcPr>
            <w:tcW w:w="912" w:type="dxa"/>
            <w:tcBorders>
              <w:top w:val="nil"/>
              <w:left w:val="nil"/>
              <w:bottom w:val="single" w:color="auto" w:sz="8" w:space="0"/>
              <w:right w:val="single" w:color="auto" w:sz="8" w:space="0"/>
            </w:tcBorders>
            <w:noWrap/>
            <w:vAlign w:val="center"/>
          </w:tcPr>
          <w:p w14:paraId="0D1F821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0CCFA56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华欣商场前停车场</w:t>
            </w:r>
          </w:p>
        </w:tc>
        <w:tc>
          <w:tcPr>
            <w:tcW w:w="912" w:type="dxa"/>
            <w:tcBorders>
              <w:top w:val="nil"/>
              <w:left w:val="nil"/>
              <w:bottom w:val="single" w:color="auto" w:sz="8" w:space="0"/>
              <w:right w:val="single" w:color="auto" w:sz="8" w:space="0"/>
            </w:tcBorders>
            <w:noWrap/>
            <w:vAlign w:val="center"/>
          </w:tcPr>
          <w:p w14:paraId="1508EE2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35</w:t>
            </w:r>
          </w:p>
        </w:tc>
        <w:tc>
          <w:tcPr>
            <w:tcW w:w="912" w:type="dxa"/>
            <w:tcBorders>
              <w:top w:val="nil"/>
              <w:left w:val="nil"/>
              <w:bottom w:val="single" w:color="auto" w:sz="8" w:space="0"/>
              <w:right w:val="single" w:color="auto" w:sz="8" w:space="0"/>
            </w:tcBorders>
            <w:noWrap/>
            <w:vAlign w:val="center"/>
          </w:tcPr>
          <w:p w14:paraId="12A44B0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43DFC3C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7A66A0E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44EA51F0">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2B1D33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16</w:t>
            </w:r>
          </w:p>
        </w:tc>
        <w:tc>
          <w:tcPr>
            <w:tcW w:w="912" w:type="dxa"/>
            <w:tcBorders>
              <w:top w:val="nil"/>
              <w:left w:val="nil"/>
              <w:bottom w:val="single" w:color="auto" w:sz="8" w:space="0"/>
              <w:right w:val="single" w:color="auto" w:sz="8" w:space="0"/>
            </w:tcBorders>
            <w:noWrap/>
            <w:vAlign w:val="center"/>
          </w:tcPr>
          <w:p w14:paraId="1B019BA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27BC72D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鑫柜大厦停车场</w:t>
            </w:r>
          </w:p>
        </w:tc>
        <w:tc>
          <w:tcPr>
            <w:tcW w:w="912" w:type="dxa"/>
            <w:tcBorders>
              <w:top w:val="nil"/>
              <w:left w:val="nil"/>
              <w:bottom w:val="single" w:color="auto" w:sz="8" w:space="0"/>
              <w:right w:val="single" w:color="auto" w:sz="8" w:space="0"/>
            </w:tcBorders>
            <w:noWrap/>
            <w:vAlign w:val="center"/>
          </w:tcPr>
          <w:p w14:paraId="038E658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25</w:t>
            </w:r>
          </w:p>
        </w:tc>
        <w:tc>
          <w:tcPr>
            <w:tcW w:w="912" w:type="dxa"/>
            <w:tcBorders>
              <w:top w:val="nil"/>
              <w:left w:val="nil"/>
              <w:bottom w:val="single" w:color="auto" w:sz="8" w:space="0"/>
              <w:right w:val="single" w:color="auto" w:sz="8" w:space="0"/>
            </w:tcBorders>
            <w:noWrap/>
            <w:vAlign w:val="center"/>
          </w:tcPr>
          <w:p w14:paraId="08DA4B4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3985DA9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5F1F0AB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3CCD0191">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C56470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17</w:t>
            </w:r>
          </w:p>
        </w:tc>
        <w:tc>
          <w:tcPr>
            <w:tcW w:w="912" w:type="dxa"/>
            <w:tcBorders>
              <w:top w:val="nil"/>
              <w:left w:val="nil"/>
              <w:bottom w:val="single" w:color="auto" w:sz="8" w:space="0"/>
              <w:right w:val="single" w:color="auto" w:sz="8" w:space="0"/>
            </w:tcBorders>
            <w:noWrap/>
            <w:vAlign w:val="center"/>
          </w:tcPr>
          <w:p w14:paraId="44EF54B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2C910E6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贺兰山大楼停车场</w:t>
            </w:r>
          </w:p>
        </w:tc>
        <w:tc>
          <w:tcPr>
            <w:tcW w:w="912" w:type="dxa"/>
            <w:tcBorders>
              <w:top w:val="nil"/>
              <w:left w:val="nil"/>
              <w:bottom w:val="single" w:color="auto" w:sz="8" w:space="0"/>
              <w:right w:val="single" w:color="auto" w:sz="8" w:space="0"/>
            </w:tcBorders>
            <w:noWrap/>
            <w:vAlign w:val="center"/>
          </w:tcPr>
          <w:p w14:paraId="53E241C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35</w:t>
            </w:r>
          </w:p>
        </w:tc>
        <w:tc>
          <w:tcPr>
            <w:tcW w:w="912" w:type="dxa"/>
            <w:tcBorders>
              <w:top w:val="nil"/>
              <w:left w:val="nil"/>
              <w:bottom w:val="single" w:color="auto" w:sz="8" w:space="0"/>
              <w:right w:val="single" w:color="auto" w:sz="8" w:space="0"/>
            </w:tcBorders>
            <w:noWrap/>
            <w:vAlign w:val="center"/>
          </w:tcPr>
          <w:p w14:paraId="2A038B7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650A82A9">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5F43883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184FA586">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FC1E6E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w:t>
            </w:r>
          </w:p>
        </w:tc>
        <w:tc>
          <w:tcPr>
            <w:tcW w:w="912" w:type="dxa"/>
            <w:tcBorders>
              <w:top w:val="nil"/>
              <w:left w:val="nil"/>
              <w:bottom w:val="single" w:color="auto" w:sz="8" w:space="0"/>
              <w:right w:val="single" w:color="auto" w:sz="8" w:space="0"/>
            </w:tcBorders>
            <w:noWrap/>
            <w:vAlign w:val="center"/>
          </w:tcPr>
          <w:p w14:paraId="6CC2F8F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0ED6E50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万商后街润泰宾馆停车场</w:t>
            </w:r>
          </w:p>
        </w:tc>
        <w:tc>
          <w:tcPr>
            <w:tcW w:w="912" w:type="dxa"/>
            <w:tcBorders>
              <w:top w:val="nil"/>
              <w:left w:val="nil"/>
              <w:bottom w:val="single" w:color="auto" w:sz="8" w:space="0"/>
              <w:right w:val="single" w:color="auto" w:sz="8" w:space="0"/>
            </w:tcBorders>
            <w:noWrap/>
            <w:vAlign w:val="center"/>
          </w:tcPr>
          <w:p w14:paraId="651D967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32</w:t>
            </w:r>
          </w:p>
        </w:tc>
        <w:tc>
          <w:tcPr>
            <w:tcW w:w="912" w:type="dxa"/>
            <w:tcBorders>
              <w:top w:val="nil"/>
              <w:left w:val="nil"/>
              <w:bottom w:val="single" w:color="auto" w:sz="8" w:space="0"/>
              <w:right w:val="single" w:color="auto" w:sz="8" w:space="0"/>
            </w:tcBorders>
            <w:noWrap/>
            <w:vAlign w:val="center"/>
          </w:tcPr>
          <w:p w14:paraId="3B2200F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228AC96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415C986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273C08DD">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428DD40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19</w:t>
            </w:r>
          </w:p>
        </w:tc>
        <w:tc>
          <w:tcPr>
            <w:tcW w:w="912" w:type="dxa"/>
            <w:tcBorders>
              <w:top w:val="nil"/>
              <w:left w:val="nil"/>
              <w:bottom w:val="single" w:color="auto" w:sz="8" w:space="0"/>
              <w:right w:val="single" w:color="auto" w:sz="8" w:space="0"/>
            </w:tcBorders>
            <w:noWrap/>
            <w:vAlign w:val="center"/>
          </w:tcPr>
          <w:p w14:paraId="560CF6C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4A63F40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前进北路农村信用社停车场</w:t>
            </w:r>
          </w:p>
        </w:tc>
        <w:tc>
          <w:tcPr>
            <w:tcW w:w="912" w:type="dxa"/>
            <w:tcBorders>
              <w:top w:val="nil"/>
              <w:left w:val="nil"/>
              <w:bottom w:val="single" w:color="auto" w:sz="8" w:space="0"/>
              <w:right w:val="single" w:color="auto" w:sz="8" w:space="0"/>
            </w:tcBorders>
            <w:noWrap/>
            <w:vAlign w:val="center"/>
          </w:tcPr>
          <w:p w14:paraId="7795922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120</w:t>
            </w:r>
          </w:p>
        </w:tc>
        <w:tc>
          <w:tcPr>
            <w:tcW w:w="912" w:type="dxa"/>
            <w:tcBorders>
              <w:top w:val="nil"/>
              <w:left w:val="nil"/>
              <w:bottom w:val="single" w:color="auto" w:sz="8" w:space="0"/>
              <w:right w:val="single" w:color="auto" w:sz="8" w:space="0"/>
            </w:tcBorders>
            <w:noWrap/>
            <w:vAlign w:val="center"/>
          </w:tcPr>
          <w:p w14:paraId="401595D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1721929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w:t>
            </w:r>
          </w:p>
        </w:tc>
        <w:tc>
          <w:tcPr>
            <w:tcW w:w="1736" w:type="dxa"/>
            <w:tcBorders>
              <w:top w:val="nil"/>
              <w:left w:val="nil"/>
              <w:bottom w:val="single" w:color="auto" w:sz="8" w:space="0"/>
              <w:right w:val="single" w:color="auto" w:sz="8" w:space="0"/>
            </w:tcBorders>
            <w:noWrap/>
            <w:vAlign w:val="center"/>
          </w:tcPr>
          <w:p w14:paraId="7E01D45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w:t>
            </w:r>
          </w:p>
        </w:tc>
      </w:tr>
      <w:tr w14:paraId="278989F3">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452CD87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20</w:t>
            </w:r>
          </w:p>
        </w:tc>
        <w:tc>
          <w:tcPr>
            <w:tcW w:w="912" w:type="dxa"/>
            <w:tcBorders>
              <w:top w:val="nil"/>
              <w:left w:val="nil"/>
              <w:bottom w:val="single" w:color="auto" w:sz="8" w:space="0"/>
              <w:right w:val="single" w:color="auto" w:sz="8" w:space="0"/>
            </w:tcBorders>
            <w:noWrap/>
            <w:vAlign w:val="center"/>
          </w:tcPr>
          <w:p w14:paraId="6479CA7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2F59F52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宁夏银行前停车场</w:t>
            </w:r>
          </w:p>
        </w:tc>
        <w:tc>
          <w:tcPr>
            <w:tcW w:w="912" w:type="dxa"/>
            <w:tcBorders>
              <w:top w:val="nil"/>
              <w:left w:val="nil"/>
              <w:bottom w:val="single" w:color="auto" w:sz="8" w:space="0"/>
              <w:right w:val="single" w:color="auto" w:sz="8" w:space="0"/>
            </w:tcBorders>
            <w:noWrap/>
            <w:vAlign w:val="center"/>
          </w:tcPr>
          <w:p w14:paraId="291EA78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102</w:t>
            </w:r>
          </w:p>
        </w:tc>
        <w:tc>
          <w:tcPr>
            <w:tcW w:w="912" w:type="dxa"/>
            <w:tcBorders>
              <w:top w:val="nil"/>
              <w:left w:val="nil"/>
              <w:bottom w:val="single" w:color="auto" w:sz="8" w:space="0"/>
              <w:right w:val="single" w:color="auto" w:sz="8" w:space="0"/>
            </w:tcBorders>
            <w:noWrap/>
            <w:vAlign w:val="center"/>
          </w:tcPr>
          <w:p w14:paraId="180E593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79804A2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15</w:t>
            </w:r>
          </w:p>
        </w:tc>
        <w:tc>
          <w:tcPr>
            <w:tcW w:w="1736" w:type="dxa"/>
            <w:tcBorders>
              <w:top w:val="nil"/>
              <w:left w:val="nil"/>
              <w:bottom w:val="single" w:color="auto" w:sz="8" w:space="0"/>
              <w:right w:val="single" w:color="auto" w:sz="8" w:space="0"/>
            </w:tcBorders>
            <w:noWrap/>
            <w:vAlign w:val="center"/>
          </w:tcPr>
          <w:p w14:paraId="49AA5B9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15</w:t>
            </w:r>
          </w:p>
        </w:tc>
      </w:tr>
      <w:tr w14:paraId="650781F1">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27E090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21</w:t>
            </w:r>
          </w:p>
        </w:tc>
        <w:tc>
          <w:tcPr>
            <w:tcW w:w="912" w:type="dxa"/>
            <w:tcBorders>
              <w:top w:val="nil"/>
              <w:left w:val="nil"/>
              <w:bottom w:val="single" w:color="auto" w:sz="8" w:space="0"/>
              <w:right w:val="single" w:color="auto" w:sz="8" w:space="0"/>
            </w:tcBorders>
            <w:noWrap/>
            <w:vAlign w:val="center"/>
          </w:tcPr>
          <w:p w14:paraId="182DB5B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2CA0718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汉唐商业街停车场</w:t>
            </w:r>
            <w:r>
              <w:rPr>
                <w:rFonts w:eastAsia="方正仿宋_GB2312" w:cs="Times New Roman"/>
                <w:color w:val="000000"/>
                <w:kern w:val="0"/>
                <w:sz w:val="21"/>
                <w:szCs w:val="21"/>
              </w:rPr>
              <w:t>C8-C9</w:t>
            </w:r>
          </w:p>
        </w:tc>
        <w:tc>
          <w:tcPr>
            <w:tcW w:w="912" w:type="dxa"/>
            <w:tcBorders>
              <w:top w:val="nil"/>
              <w:left w:val="nil"/>
              <w:bottom w:val="single" w:color="auto" w:sz="8" w:space="0"/>
              <w:right w:val="single" w:color="auto" w:sz="8" w:space="0"/>
            </w:tcBorders>
            <w:noWrap/>
            <w:vAlign w:val="center"/>
          </w:tcPr>
          <w:p w14:paraId="223088F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40</w:t>
            </w:r>
          </w:p>
        </w:tc>
        <w:tc>
          <w:tcPr>
            <w:tcW w:w="912" w:type="dxa"/>
            <w:tcBorders>
              <w:top w:val="nil"/>
              <w:left w:val="nil"/>
              <w:bottom w:val="single" w:color="auto" w:sz="8" w:space="0"/>
              <w:right w:val="single" w:color="auto" w:sz="8" w:space="0"/>
            </w:tcBorders>
            <w:noWrap/>
            <w:vAlign w:val="center"/>
          </w:tcPr>
          <w:p w14:paraId="3B03FAD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22BA2AE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c>
          <w:tcPr>
            <w:tcW w:w="1736" w:type="dxa"/>
            <w:tcBorders>
              <w:top w:val="nil"/>
              <w:left w:val="nil"/>
              <w:bottom w:val="single" w:color="auto" w:sz="8" w:space="0"/>
              <w:right w:val="single" w:color="auto" w:sz="8" w:space="0"/>
            </w:tcBorders>
            <w:noWrap/>
            <w:vAlign w:val="center"/>
          </w:tcPr>
          <w:p w14:paraId="5B0B8C0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r>
      <w:tr w14:paraId="6652FCE7">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C10EA7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22</w:t>
            </w:r>
          </w:p>
        </w:tc>
        <w:tc>
          <w:tcPr>
            <w:tcW w:w="912" w:type="dxa"/>
            <w:tcBorders>
              <w:top w:val="nil"/>
              <w:left w:val="nil"/>
              <w:bottom w:val="single" w:color="auto" w:sz="8" w:space="0"/>
              <w:right w:val="single" w:color="auto" w:sz="8" w:space="0"/>
            </w:tcBorders>
            <w:noWrap/>
            <w:vAlign w:val="center"/>
          </w:tcPr>
          <w:p w14:paraId="6000CBD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商业配建</w:t>
            </w:r>
          </w:p>
        </w:tc>
        <w:tc>
          <w:tcPr>
            <w:tcW w:w="2324" w:type="dxa"/>
            <w:tcBorders>
              <w:top w:val="nil"/>
              <w:left w:val="nil"/>
              <w:bottom w:val="single" w:color="auto" w:sz="8" w:space="0"/>
              <w:right w:val="single" w:color="auto" w:sz="8" w:space="0"/>
            </w:tcBorders>
            <w:noWrap/>
            <w:vAlign w:val="center"/>
          </w:tcPr>
          <w:p w14:paraId="1999293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柏悦酒店（原君越酒店）</w:t>
            </w:r>
          </w:p>
        </w:tc>
        <w:tc>
          <w:tcPr>
            <w:tcW w:w="912" w:type="dxa"/>
            <w:tcBorders>
              <w:top w:val="nil"/>
              <w:left w:val="nil"/>
              <w:bottom w:val="single" w:color="auto" w:sz="8" w:space="0"/>
              <w:right w:val="single" w:color="auto" w:sz="8" w:space="0"/>
            </w:tcBorders>
            <w:noWrap/>
            <w:vAlign w:val="center"/>
          </w:tcPr>
          <w:p w14:paraId="23CECD3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64</w:t>
            </w:r>
          </w:p>
        </w:tc>
        <w:tc>
          <w:tcPr>
            <w:tcW w:w="912" w:type="dxa"/>
            <w:tcBorders>
              <w:top w:val="nil"/>
              <w:left w:val="nil"/>
              <w:bottom w:val="single" w:color="auto" w:sz="8" w:space="0"/>
              <w:right w:val="single" w:color="auto" w:sz="8" w:space="0"/>
            </w:tcBorders>
            <w:noWrap/>
            <w:vAlign w:val="center"/>
          </w:tcPr>
          <w:p w14:paraId="4FA4881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14</w:t>
            </w:r>
          </w:p>
        </w:tc>
        <w:tc>
          <w:tcPr>
            <w:tcW w:w="912" w:type="dxa"/>
            <w:tcBorders>
              <w:top w:val="nil"/>
              <w:left w:val="nil"/>
              <w:bottom w:val="single" w:color="auto" w:sz="8" w:space="0"/>
              <w:right w:val="single" w:color="auto" w:sz="8" w:space="0"/>
            </w:tcBorders>
            <w:noWrap/>
            <w:vAlign w:val="center"/>
          </w:tcPr>
          <w:p w14:paraId="76056F2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1736" w:type="dxa"/>
            <w:tcBorders>
              <w:top w:val="nil"/>
              <w:left w:val="nil"/>
              <w:bottom w:val="single" w:color="auto" w:sz="8" w:space="0"/>
              <w:right w:val="single" w:color="auto" w:sz="8" w:space="0"/>
            </w:tcBorders>
            <w:noWrap/>
            <w:vAlign w:val="center"/>
          </w:tcPr>
          <w:p w14:paraId="49874AF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14</w:t>
            </w:r>
          </w:p>
        </w:tc>
      </w:tr>
      <w:tr w14:paraId="7B5758A2">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8BD25B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23</w:t>
            </w:r>
          </w:p>
        </w:tc>
        <w:tc>
          <w:tcPr>
            <w:tcW w:w="912" w:type="dxa"/>
            <w:tcBorders>
              <w:top w:val="nil"/>
              <w:left w:val="nil"/>
              <w:bottom w:val="single" w:color="auto" w:sz="8" w:space="0"/>
              <w:right w:val="single" w:color="auto" w:sz="8" w:space="0"/>
            </w:tcBorders>
            <w:noWrap/>
            <w:vAlign w:val="center"/>
          </w:tcPr>
          <w:p w14:paraId="2B5C209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85A1AA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凯旋城停车场</w:t>
            </w:r>
          </w:p>
        </w:tc>
        <w:tc>
          <w:tcPr>
            <w:tcW w:w="912" w:type="dxa"/>
            <w:tcBorders>
              <w:top w:val="nil"/>
              <w:left w:val="nil"/>
              <w:bottom w:val="single" w:color="auto" w:sz="8" w:space="0"/>
              <w:right w:val="single" w:color="auto" w:sz="8" w:space="0"/>
            </w:tcBorders>
            <w:noWrap/>
            <w:vAlign w:val="center"/>
          </w:tcPr>
          <w:p w14:paraId="03BDCA3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200</w:t>
            </w:r>
          </w:p>
        </w:tc>
        <w:tc>
          <w:tcPr>
            <w:tcW w:w="912" w:type="dxa"/>
            <w:tcBorders>
              <w:top w:val="nil"/>
              <w:left w:val="nil"/>
              <w:bottom w:val="single" w:color="auto" w:sz="8" w:space="0"/>
              <w:right w:val="single" w:color="auto" w:sz="8" w:space="0"/>
            </w:tcBorders>
            <w:noWrap/>
            <w:vAlign w:val="center"/>
          </w:tcPr>
          <w:p w14:paraId="2304883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c>
          <w:tcPr>
            <w:tcW w:w="912" w:type="dxa"/>
            <w:tcBorders>
              <w:top w:val="nil"/>
              <w:left w:val="nil"/>
              <w:bottom w:val="single" w:color="auto" w:sz="8" w:space="0"/>
              <w:right w:val="single" w:color="auto" w:sz="8" w:space="0"/>
            </w:tcBorders>
            <w:noWrap/>
            <w:vAlign w:val="center"/>
          </w:tcPr>
          <w:p w14:paraId="7FEB4C3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17</w:t>
            </w:r>
          </w:p>
        </w:tc>
        <w:tc>
          <w:tcPr>
            <w:tcW w:w="1736" w:type="dxa"/>
            <w:tcBorders>
              <w:top w:val="nil"/>
              <w:left w:val="nil"/>
              <w:bottom w:val="single" w:color="auto" w:sz="8" w:space="0"/>
              <w:right w:val="single" w:color="auto" w:sz="8" w:space="0"/>
            </w:tcBorders>
            <w:noWrap/>
            <w:vAlign w:val="center"/>
          </w:tcPr>
          <w:p w14:paraId="00D80C2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20</w:t>
            </w:r>
          </w:p>
        </w:tc>
      </w:tr>
      <w:tr w14:paraId="717998D7">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0F0339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24</w:t>
            </w:r>
          </w:p>
        </w:tc>
        <w:tc>
          <w:tcPr>
            <w:tcW w:w="912" w:type="dxa"/>
            <w:tcBorders>
              <w:top w:val="nil"/>
              <w:left w:val="nil"/>
              <w:bottom w:val="single" w:color="auto" w:sz="8" w:space="0"/>
              <w:right w:val="single" w:color="auto" w:sz="8" w:space="0"/>
            </w:tcBorders>
            <w:noWrap/>
            <w:vAlign w:val="center"/>
          </w:tcPr>
          <w:p w14:paraId="79F80D1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3C1AC7A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首座龙庭前停车场</w:t>
            </w:r>
          </w:p>
        </w:tc>
        <w:tc>
          <w:tcPr>
            <w:tcW w:w="912" w:type="dxa"/>
            <w:tcBorders>
              <w:top w:val="nil"/>
              <w:left w:val="nil"/>
              <w:bottom w:val="single" w:color="auto" w:sz="8" w:space="0"/>
              <w:right w:val="single" w:color="auto" w:sz="8" w:space="0"/>
            </w:tcBorders>
            <w:noWrap/>
            <w:vAlign w:val="center"/>
          </w:tcPr>
          <w:p w14:paraId="6A6B2B29">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400</w:t>
            </w:r>
          </w:p>
        </w:tc>
        <w:tc>
          <w:tcPr>
            <w:tcW w:w="912" w:type="dxa"/>
            <w:tcBorders>
              <w:top w:val="nil"/>
              <w:left w:val="nil"/>
              <w:bottom w:val="single" w:color="auto" w:sz="8" w:space="0"/>
              <w:right w:val="single" w:color="auto" w:sz="8" w:space="0"/>
            </w:tcBorders>
            <w:noWrap/>
            <w:vAlign w:val="center"/>
          </w:tcPr>
          <w:p w14:paraId="2C63B2A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07C902E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60</w:t>
            </w:r>
          </w:p>
        </w:tc>
        <w:tc>
          <w:tcPr>
            <w:tcW w:w="1736" w:type="dxa"/>
            <w:tcBorders>
              <w:top w:val="nil"/>
              <w:left w:val="nil"/>
              <w:bottom w:val="single" w:color="auto" w:sz="8" w:space="0"/>
              <w:right w:val="single" w:color="auto" w:sz="8" w:space="0"/>
            </w:tcBorders>
            <w:noWrap/>
            <w:vAlign w:val="center"/>
          </w:tcPr>
          <w:p w14:paraId="458098F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60</w:t>
            </w:r>
          </w:p>
        </w:tc>
      </w:tr>
      <w:tr w14:paraId="62566216">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0E9712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25</w:t>
            </w:r>
          </w:p>
        </w:tc>
        <w:tc>
          <w:tcPr>
            <w:tcW w:w="912" w:type="dxa"/>
            <w:tcBorders>
              <w:top w:val="nil"/>
              <w:left w:val="nil"/>
              <w:bottom w:val="single" w:color="auto" w:sz="8" w:space="0"/>
              <w:right w:val="single" w:color="auto" w:sz="8" w:space="0"/>
            </w:tcBorders>
            <w:noWrap/>
            <w:vAlign w:val="center"/>
          </w:tcPr>
          <w:p w14:paraId="76A5F71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58055A7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金峰国际停车场</w:t>
            </w:r>
          </w:p>
        </w:tc>
        <w:tc>
          <w:tcPr>
            <w:tcW w:w="912" w:type="dxa"/>
            <w:tcBorders>
              <w:top w:val="nil"/>
              <w:left w:val="nil"/>
              <w:bottom w:val="single" w:color="auto" w:sz="8" w:space="0"/>
              <w:right w:val="single" w:color="auto" w:sz="8" w:space="0"/>
            </w:tcBorders>
            <w:noWrap/>
            <w:vAlign w:val="center"/>
          </w:tcPr>
          <w:p w14:paraId="606B6B4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358</w:t>
            </w:r>
          </w:p>
        </w:tc>
        <w:tc>
          <w:tcPr>
            <w:tcW w:w="912" w:type="dxa"/>
            <w:tcBorders>
              <w:top w:val="nil"/>
              <w:left w:val="nil"/>
              <w:bottom w:val="single" w:color="auto" w:sz="8" w:space="0"/>
              <w:right w:val="single" w:color="auto" w:sz="8" w:space="0"/>
            </w:tcBorders>
            <w:noWrap/>
            <w:vAlign w:val="center"/>
          </w:tcPr>
          <w:p w14:paraId="1400696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6ED854A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56</w:t>
            </w:r>
          </w:p>
        </w:tc>
        <w:tc>
          <w:tcPr>
            <w:tcW w:w="1736" w:type="dxa"/>
            <w:tcBorders>
              <w:top w:val="nil"/>
              <w:left w:val="nil"/>
              <w:bottom w:val="single" w:color="auto" w:sz="8" w:space="0"/>
              <w:right w:val="single" w:color="auto" w:sz="8" w:space="0"/>
            </w:tcBorders>
            <w:noWrap/>
            <w:vAlign w:val="center"/>
          </w:tcPr>
          <w:p w14:paraId="7C3397E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56</w:t>
            </w:r>
          </w:p>
        </w:tc>
      </w:tr>
      <w:tr w14:paraId="5C58C619">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6FDCD9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26</w:t>
            </w:r>
          </w:p>
        </w:tc>
        <w:tc>
          <w:tcPr>
            <w:tcW w:w="912" w:type="dxa"/>
            <w:tcBorders>
              <w:top w:val="nil"/>
              <w:left w:val="nil"/>
              <w:bottom w:val="single" w:color="auto" w:sz="8" w:space="0"/>
              <w:right w:val="single" w:color="auto" w:sz="8" w:space="0"/>
            </w:tcBorders>
            <w:noWrap/>
            <w:vAlign w:val="center"/>
          </w:tcPr>
          <w:p w14:paraId="71C6084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553787F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盛鼎商务停车场</w:t>
            </w:r>
          </w:p>
        </w:tc>
        <w:tc>
          <w:tcPr>
            <w:tcW w:w="912" w:type="dxa"/>
            <w:tcBorders>
              <w:top w:val="nil"/>
              <w:left w:val="nil"/>
              <w:bottom w:val="single" w:color="auto" w:sz="8" w:space="0"/>
              <w:right w:val="single" w:color="auto" w:sz="8" w:space="0"/>
            </w:tcBorders>
            <w:noWrap/>
            <w:vAlign w:val="center"/>
          </w:tcPr>
          <w:p w14:paraId="4E69082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300</w:t>
            </w:r>
          </w:p>
        </w:tc>
        <w:tc>
          <w:tcPr>
            <w:tcW w:w="912" w:type="dxa"/>
            <w:tcBorders>
              <w:top w:val="nil"/>
              <w:left w:val="nil"/>
              <w:bottom w:val="single" w:color="auto" w:sz="8" w:space="0"/>
              <w:right w:val="single" w:color="auto" w:sz="8" w:space="0"/>
            </w:tcBorders>
            <w:noWrap/>
            <w:vAlign w:val="center"/>
          </w:tcPr>
          <w:p w14:paraId="2E6A4A5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9</w:t>
            </w:r>
          </w:p>
        </w:tc>
        <w:tc>
          <w:tcPr>
            <w:tcW w:w="912" w:type="dxa"/>
            <w:tcBorders>
              <w:top w:val="nil"/>
              <w:left w:val="nil"/>
              <w:bottom w:val="single" w:color="auto" w:sz="8" w:space="0"/>
              <w:right w:val="single" w:color="auto" w:sz="8" w:space="0"/>
            </w:tcBorders>
            <w:noWrap/>
            <w:vAlign w:val="center"/>
          </w:tcPr>
          <w:p w14:paraId="3EB379D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35</w:t>
            </w:r>
          </w:p>
        </w:tc>
        <w:tc>
          <w:tcPr>
            <w:tcW w:w="1736" w:type="dxa"/>
            <w:tcBorders>
              <w:top w:val="nil"/>
              <w:left w:val="nil"/>
              <w:bottom w:val="single" w:color="auto" w:sz="8" w:space="0"/>
              <w:right w:val="single" w:color="auto" w:sz="8" w:space="0"/>
            </w:tcBorders>
            <w:noWrap/>
            <w:vAlign w:val="center"/>
          </w:tcPr>
          <w:p w14:paraId="065740A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44</w:t>
            </w:r>
          </w:p>
        </w:tc>
      </w:tr>
      <w:tr w14:paraId="3A0EB362">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54B48F1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27</w:t>
            </w:r>
          </w:p>
        </w:tc>
        <w:tc>
          <w:tcPr>
            <w:tcW w:w="912" w:type="dxa"/>
            <w:tcBorders>
              <w:top w:val="nil"/>
              <w:left w:val="nil"/>
              <w:bottom w:val="single" w:color="auto" w:sz="8" w:space="0"/>
              <w:right w:val="single" w:color="auto" w:sz="8" w:space="0"/>
            </w:tcBorders>
            <w:noWrap/>
            <w:vAlign w:val="center"/>
          </w:tcPr>
          <w:p w14:paraId="2DE22F5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593DCE4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永欣园南区停车场</w:t>
            </w:r>
          </w:p>
        </w:tc>
        <w:tc>
          <w:tcPr>
            <w:tcW w:w="912" w:type="dxa"/>
            <w:tcBorders>
              <w:top w:val="nil"/>
              <w:left w:val="nil"/>
              <w:bottom w:val="single" w:color="auto" w:sz="8" w:space="0"/>
              <w:right w:val="single" w:color="auto" w:sz="8" w:space="0"/>
            </w:tcBorders>
            <w:noWrap/>
            <w:vAlign w:val="center"/>
          </w:tcPr>
          <w:p w14:paraId="331E645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50</w:t>
            </w:r>
          </w:p>
        </w:tc>
        <w:tc>
          <w:tcPr>
            <w:tcW w:w="912" w:type="dxa"/>
            <w:tcBorders>
              <w:top w:val="nil"/>
              <w:left w:val="nil"/>
              <w:bottom w:val="single" w:color="auto" w:sz="8" w:space="0"/>
              <w:right w:val="single" w:color="auto" w:sz="8" w:space="0"/>
            </w:tcBorders>
            <w:noWrap/>
            <w:vAlign w:val="center"/>
          </w:tcPr>
          <w:p w14:paraId="2FFB1C9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4F84AA4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c>
          <w:tcPr>
            <w:tcW w:w="1736" w:type="dxa"/>
            <w:tcBorders>
              <w:top w:val="nil"/>
              <w:left w:val="nil"/>
              <w:bottom w:val="single" w:color="auto" w:sz="8" w:space="0"/>
              <w:right w:val="single" w:color="auto" w:sz="8" w:space="0"/>
            </w:tcBorders>
            <w:noWrap/>
            <w:vAlign w:val="center"/>
          </w:tcPr>
          <w:p w14:paraId="2F85C62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r>
      <w:tr w14:paraId="78E3A06A">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610496C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28</w:t>
            </w:r>
          </w:p>
        </w:tc>
        <w:tc>
          <w:tcPr>
            <w:tcW w:w="912" w:type="dxa"/>
            <w:tcBorders>
              <w:top w:val="nil"/>
              <w:left w:val="nil"/>
              <w:bottom w:val="single" w:color="auto" w:sz="8" w:space="0"/>
              <w:right w:val="single" w:color="auto" w:sz="8" w:space="0"/>
            </w:tcBorders>
            <w:noWrap/>
            <w:vAlign w:val="center"/>
          </w:tcPr>
          <w:p w14:paraId="081A65B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77BD8B4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禹新小区停车场</w:t>
            </w:r>
          </w:p>
        </w:tc>
        <w:tc>
          <w:tcPr>
            <w:tcW w:w="912" w:type="dxa"/>
            <w:tcBorders>
              <w:top w:val="nil"/>
              <w:left w:val="nil"/>
              <w:bottom w:val="single" w:color="auto" w:sz="8" w:space="0"/>
              <w:right w:val="single" w:color="auto" w:sz="8" w:space="0"/>
            </w:tcBorders>
            <w:noWrap/>
            <w:vAlign w:val="center"/>
          </w:tcPr>
          <w:p w14:paraId="3D95F70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50</w:t>
            </w:r>
          </w:p>
        </w:tc>
        <w:tc>
          <w:tcPr>
            <w:tcW w:w="912" w:type="dxa"/>
            <w:tcBorders>
              <w:top w:val="nil"/>
              <w:left w:val="nil"/>
              <w:bottom w:val="single" w:color="auto" w:sz="8" w:space="0"/>
              <w:right w:val="single" w:color="auto" w:sz="8" w:space="0"/>
            </w:tcBorders>
            <w:noWrap/>
            <w:vAlign w:val="center"/>
          </w:tcPr>
          <w:p w14:paraId="3D33346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w:t>
            </w:r>
          </w:p>
        </w:tc>
        <w:tc>
          <w:tcPr>
            <w:tcW w:w="912" w:type="dxa"/>
            <w:tcBorders>
              <w:top w:val="nil"/>
              <w:left w:val="nil"/>
              <w:bottom w:val="single" w:color="auto" w:sz="8" w:space="0"/>
              <w:right w:val="single" w:color="auto" w:sz="8" w:space="0"/>
            </w:tcBorders>
            <w:noWrap/>
            <w:vAlign w:val="center"/>
          </w:tcPr>
          <w:p w14:paraId="706DC089">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c>
          <w:tcPr>
            <w:tcW w:w="1736" w:type="dxa"/>
            <w:tcBorders>
              <w:top w:val="nil"/>
              <w:left w:val="nil"/>
              <w:bottom w:val="single" w:color="auto" w:sz="8" w:space="0"/>
              <w:right w:val="single" w:color="auto" w:sz="8" w:space="0"/>
            </w:tcBorders>
            <w:noWrap/>
            <w:vAlign w:val="center"/>
          </w:tcPr>
          <w:p w14:paraId="3D802A4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r>
      <w:tr w14:paraId="7A766B19">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4F8DF78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29</w:t>
            </w:r>
          </w:p>
        </w:tc>
        <w:tc>
          <w:tcPr>
            <w:tcW w:w="912" w:type="dxa"/>
            <w:tcBorders>
              <w:top w:val="nil"/>
              <w:left w:val="nil"/>
              <w:bottom w:val="single" w:color="auto" w:sz="8" w:space="0"/>
              <w:right w:val="single" w:color="auto" w:sz="8" w:space="0"/>
            </w:tcBorders>
            <w:noWrap/>
            <w:vAlign w:val="center"/>
          </w:tcPr>
          <w:p w14:paraId="145E853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92929C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香榭星海湾</w:t>
            </w:r>
          </w:p>
        </w:tc>
        <w:tc>
          <w:tcPr>
            <w:tcW w:w="912" w:type="dxa"/>
            <w:tcBorders>
              <w:top w:val="nil"/>
              <w:left w:val="nil"/>
              <w:bottom w:val="single" w:color="auto" w:sz="8" w:space="0"/>
              <w:right w:val="single" w:color="auto" w:sz="8" w:space="0"/>
            </w:tcBorders>
            <w:noWrap/>
            <w:vAlign w:val="center"/>
          </w:tcPr>
          <w:p w14:paraId="0B359EB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80</w:t>
            </w:r>
          </w:p>
        </w:tc>
        <w:tc>
          <w:tcPr>
            <w:tcW w:w="912" w:type="dxa"/>
            <w:tcBorders>
              <w:top w:val="nil"/>
              <w:left w:val="nil"/>
              <w:bottom w:val="single" w:color="auto" w:sz="8" w:space="0"/>
              <w:right w:val="single" w:color="auto" w:sz="8" w:space="0"/>
            </w:tcBorders>
            <w:noWrap/>
            <w:vAlign w:val="center"/>
          </w:tcPr>
          <w:p w14:paraId="231705B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w:t>
            </w:r>
          </w:p>
        </w:tc>
        <w:tc>
          <w:tcPr>
            <w:tcW w:w="912" w:type="dxa"/>
            <w:tcBorders>
              <w:top w:val="nil"/>
              <w:left w:val="nil"/>
              <w:bottom w:val="single" w:color="auto" w:sz="8" w:space="0"/>
              <w:right w:val="single" w:color="auto" w:sz="8" w:space="0"/>
            </w:tcBorders>
            <w:noWrap/>
            <w:vAlign w:val="center"/>
          </w:tcPr>
          <w:p w14:paraId="4542DD2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w:t>
            </w:r>
          </w:p>
        </w:tc>
        <w:tc>
          <w:tcPr>
            <w:tcW w:w="1736" w:type="dxa"/>
            <w:tcBorders>
              <w:top w:val="nil"/>
              <w:left w:val="nil"/>
              <w:bottom w:val="single" w:color="auto" w:sz="8" w:space="0"/>
              <w:right w:val="single" w:color="auto" w:sz="8" w:space="0"/>
            </w:tcBorders>
            <w:noWrap/>
            <w:vAlign w:val="center"/>
          </w:tcPr>
          <w:p w14:paraId="312BDAD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12</w:t>
            </w:r>
          </w:p>
        </w:tc>
      </w:tr>
      <w:tr w14:paraId="1AA1434C">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BF7A2D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w:t>
            </w:r>
          </w:p>
        </w:tc>
        <w:tc>
          <w:tcPr>
            <w:tcW w:w="912" w:type="dxa"/>
            <w:tcBorders>
              <w:top w:val="nil"/>
              <w:left w:val="nil"/>
              <w:bottom w:val="single" w:color="auto" w:sz="8" w:space="0"/>
              <w:right w:val="single" w:color="auto" w:sz="8" w:space="0"/>
            </w:tcBorders>
            <w:noWrap/>
            <w:vAlign w:val="center"/>
          </w:tcPr>
          <w:p w14:paraId="562F804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7759F48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翰林庭院</w:t>
            </w:r>
          </w:p>
        </w:tc>
        <w:tc>
          <w:tcPr>
            <w:tcW w:w="912" w:type="dxa"/>
            <w:tcBorders>
              <w:top w:val="nil"/>
              <w:left w:val="nil"/>
              <w:bottom w:val="single" w:color="auto" w:sz="8" w:space="0"/>
              <w:right w:val="single" w:color="auto" w:sz="8" w:space="0"/>
            </w:tcBorders>
            <w:noWrap/>
            <w:vAlign w:val="center"/>
          </w:tcPr>
          <w:p w14:paraId="5106776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46</w:t>
            </w:r>
          </w:p>
        </w:tc>
        <w:tc>
          <w:tcPr>
            <w:tcW w:w="912" w:type="dxa"/>
            <w:tcBorders>
              <w:top w:val="nil"/>
              <w:left w:val="nil"/>
              <w:bottom w:val="single" w:color="auto" w:sz="8" w:space="0"/>
              <w:right w:val="single" w:color="auto" w:sz="8" w:space="0"/>
            </w:tcBorders>
            <w:noWrap/>
            <w:vAlign w:val="center"/>
          </w:tcPr>
          <w:p w14:paraId="001F38E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c>
          <w:tcPr>
            <w:tcW w:w="912" w:type="dxa"/>
            <w:tcBorders>
              <w:top w:val="nil"/>
              <w:left w:val="nil"/>
              <w:bottom w:val="single" w:color="auto" w:sz="8" w:space="0"/>
              <w:right w:val="single" w:color="auto" w:sz="8" w:space="0"/>
            </w:tcBorders>
            <w:noWrap/>
            <w:vAlign w:val="center"/>
          </w:tcPr>
          <w:p w14:paraId="48D5EBC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w:t>
            </w:r>
          </w:p>
        </w:tc>
        <w:tc>
          <w:tcPr>
            <w:tcW w:w="1736" w:type="dxa"/>
            <w:tcBorders>
              <w:top w:val="nil"/>
              <w:left w:val="nil"/>
              <w:bottom w:val="single" w:color="auto" w:sz="8" w:space="0"/>
              <w:right w:val="single" w:color="auto" w:sz="8" w:space="0"/>
            </w:tcBorders>
            <w:noWrap/>
            <w:vAlign w:val="center"/>
          </w:tcPr>
          <w:p w14:paraId="51C200B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r>
      <w:tr w14:paraId="0215DA46">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379F688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31</w:t>
            </w:r>
          </w:p>
        </w:tc>
        <w:tc>
          <w:tcPr>
            <w:tcW w:w="912" w:type="dxa"/>
            <w:tcBorders>
              <w:top w:val="nil"/>
              <w:left w:val="nil"/>
              <w:bottom w:val="single" w:color="auto" w:sz="8" w:space="0"/>
              <w:right w:val="single" w:color="auto" w:sz="8" w:space="0"/>
            </w:tcBorders>
            <w:noWrap/>
            <w:vAlign w:val="center"/>
          </w:tcPr>
          <w:p w14:paraId="797A5D3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66579E3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书香御景</w:t>
            </w:r>
          </w:p>
        </w:tc>
        <w:tc>
          <w:tcPr>
            <w:tcW w:w="912" w:type="dxa"/>
            <w:tcBorders>
              <w:top w:val="nil"/>
              <w:left w:val="nil"/>
              <w:bottom w:val="single" w:color="auto" w:sz="8" w:space="0"/>
              <w:right w:val="single" w:color="auto" w:sz="8" w:space="0"/>
            </w:tcBorders>
            <w:noWrap/>
            <w:vAlign w:val="center"/>
          </w:tcPr>
          <w:p w14:paraId="4A5E631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40</w:t>
            </w:r>
          </w:p>
        </w:tc>
        <w:tc>
          <w:tcPr>
            <w:tcW w:w="912" w:type="dxa"/>
            <w:tcBorders>
              <w:top w:val="nil"/>
              <w:left w:val="nil"/>
              <w:bottom w:val="single" w:color="auto" w:sz="8" w:space="0"/>
              <w:right w:val="single" w:color="auto" w:sz="8" w:space="0"/>
            </w:tcBorders>
            <w:noWrap/>
            <w:vAlign w:val="center"/>
          </w:tcPr>
          <w:p w14:paraId="220CA73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w:t>
            </w:r>
          </w:p>
        </w:tc>
        <w:tc>
          <w:tcPr>
            <w:tcW w:w="912" w:type="dxa"/>
            <w:tcBorders>
              <w:top w:val="nil"/>
              <w:left w:val="nil"/>
              <w:bottom w:val="single" w:color="auto" w:sz="8" w:space="0"/>
              <w:right w:val="single" w:color="auto" w:sz="8" w:space="0"/>
            </w:tcBorders>
            <w:noWrap/>
            <w:vAlign w:val="center"/>
          </w:tcPr>
          <w:p w14:paraId="5A781A2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w:t>
            </w:r>
          </w:p>
        </w:tc>
        <w:tc>
          <w:tcPr>
            <w:tcW w:w="1736" w:type="dxa"/>
            <w:tcBorders>
              <w:top w:val="nil"/>
              <w:left w:val="nil"/>
              <w:bottom w:val="single" w:color="auto" w:sz="8" w:space="0"/>
              <w:right w:val="single" w:color="auto" w:sz="8" w:space="0"/>
            </w:tcBorders>
            <w:noWrap/>
            <w:vAlign w:val="center"/>
          </w:tcPr>
          <w:p w14:paraId="4C916D2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r>
      <w:tr w14:paraId="3D27944D">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B63662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32</w:t>
            </w:r>
          </w:p>
        </w:tc>
        <w:tc>
          <w:tcPr>
            <w:tcW w:w="912" w:type="dxa"/>
            <w:tcBorders>
              <w:top w:val="nil"/>
              <w:left w:val="nil"/>
              <w:bottom w:val="single" w:color="auto" w:sz="8" w:space="0"/>
              <w:right w:val="single" w:color="auto" w:sz="8" w:space="0"/>
            </w:tcBorders>
            <w:noWrap/>
            <w:vAlign w:val="center"/>
          </w:tcPr>
          <w:p w14:paraId="4F51CA6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FCE5D5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大武口区爱佳停车场</w:t>
            </w:r>
          </w:p>
        </w:tc>
        <w:tc>
          <w:tcPr>
            <w:tcW w:w="912" w:type="dxa"/>
            <w:tcBorders>
              <w:top w:val="nil"/>
              <w:left w:val="nil"/>
              <w:bottom w:val="single" w:color="auto" w:sz="8" w:space="0"/>
              <w:right w:val="single" w:color="auto" w:sz="8" w:space="0"/>
            </w:tcBorders>
            <w:noWrap/>
            <w:vAlign w:val="center"/>
          </w:tcPr>
          <w:p w14:paraId="7ADF5B2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19</w:t>
            </w:r>
          </w:p>
        </w:tc>
        <w:tc>
          <w:tcPr>
            <w:tcW w:w="912" w:type="dxa"/>
            <w:tcBorders>
              <w:top w:val="nil"/>
              <w:left w:val="nil"/>
              <w:bottom w:val="single" w:color="auto" w:sz="8" w:space="0"/>
              <w:right w:val="single" w:color="auto" w:sz="8" w:space="0"/>
            </w:tcBorders>
            <w:noWrap/>
            <w:vAlign w:val="center"/>
          </w:tcPr>
          <w:p w14:paraId="65B88F6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7462511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c>
          <w:tcPr>
            <w:tcW w:w="1736" w:type="dxa"/>
            <w:tcBorders>
              <w:top w:val="nil"/>
              <w:left w:val="nil"/>
              <w:bottom w:val="single" w:color="auto" w:sz="8" w:space="0"/>
              <w:right w:val="single" w:color="auto" w:sz="8" w:space="0"/>
            </w:tcBorders>
            <w:noWrap/>
            <w:vAlign w:val="center"/>
          </w:tcPr>
          <w:p w14:paraId="7ACD9DB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w:t>
            </w:r>
          </w:p>
        </w:tc>
      </w:tr>
      <w:tr w14:paraId="186C464D">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3271115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33</w:t>
            </w:r>
          </w:p>
        </w:tc>
        <w:tc>
          <w:tcPr>
            <w:tcW w:w="912" w:type="dxa"/>
            <w:tcBorders>
              <w:top w:val="nil"/>
              <w:left w:val="nil"/>
              <w:bottom w:val="single" w:color="auto" w:sz="8" w:space="0"/>
              <w:right w:val="single" w:color="auto" w:sz="8" w:space="0"/>
            </w:tcBorders>
            <w:noWrap/>
            <w:vAlign w:val="center"/>
          </w:tcPr>
          <w:p w14:paraId="36B2CF0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4BD47F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新世纪停车场</w:t>
            </w:r>
          </w:p>
        </w:tc>
        <w:tc>
          <w:tcPr>
            <w:tcW w:w="912" w:type="dxa"/>
            <w:tcBorders>
              <w:top w:val="nil"/>
              <w:left w:val="nil"/>
              <w:bottom w:val="single" w:color="auto" w:sz="8" w:space="0"/>
              <w:right w:val="single" w:color="auto" w:sz="8" w:space="0"/>
            </w:tcBorders>
            <w:noWrap/>
            <w:vAlign w:val="center"/>
          </w:tcPr>
          <w:p w14:paraId="6C7F85D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45</w:t>
            </w:r>
          </w:p>
        </w:tc>
        <w:tc>
          <w:tcPr>
            <w:tcW w:w="912" w:type="dxa"/>
            <w:tcBorders>
              <w:top w:val="nil"/>
              <w:left w:val="nil"/>
              <w:bottom w:val="single" w:color="auto" w:sz="8" w:space="0"/>
              <w:right w:val="single" w:color="auto" w:sz="8" w:space="0"/>
            </w:tcBorders>
            <w:noWrap/>
            <w:vAlign w:val="center"/>
          </w:tcPr>
          <w:p w14:paraId="733E1CC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30E428B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c>
          <w:tcPr>
            <w:tcW w:w="1736" w:type="dxa"/>
            <w:tcBorders>
              <w:top w:val="nil"/>
              <w:left w:val="nil"/>
              <w:bottom w:val="single" w:color="auto" w:sz="8" w:space="0"/>
              <w:right w:val="single" w:color="auto" w:sz="8" w:space="0"/>
            </w:tcBorders>
            <w:noWrap/>
            <w:vAlign w:val="center"/>
          </w:tcPr>
          <w:p w14:paraId="3BFA9D2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7</w:t>
            </w:r>
          </w:p>
        </w:tc>
      </w:tr>
      <w:tr w14:paraId="5BDFCAD8">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0CD1BCF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34</w:t>
            </w:r>
          </w:p>
        </w:tc>
        <w:tc>
          <w:tcPr>
            <w:tcW w:w="912" w:type="dxa"/>
            <w:tcBorders>
              <w:top w:val="nil"/>
              <w:left w:val="nil"/>
              <w:bottom w:val="single" w:color="auto" w:sz="8" w:space="0"/>
              <w:right w:val="single" w:color="auto" w:sz="8" w:space="0"/>
            </w:tcBorders>
            <w:noWrap/>
            <w:vAlign w:val="center"/>
          </w:tcPr>
          <w:p w14:paraId="654BCE2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2831DB9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市第二人民医院停车场</w:t>
            </w:r>
          </w:p>
        </w:tc>
        <w:tc>
          <w:tcPr>
            <w:tcW w:w="912" w:type="dxa"/>
            <w:tcBorders>
              <w:top w:val="nil"/>
              <w:left w:val="nil"/>
              <w:bottom w:val="single" w:color="auto" w:sz="8" w:space="0"/>
              <w:right w:val="single" w:color="auto" w:sz="8" w:space="0"/>
            </w:tcBorders>
            <w:noWrap/>
            <w:vAlign w:val="center"/>
          </w:tcPr>
          <w:p w14:paraId="1BC1BC4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200</w:t>
            </w:r>
          </w:p>
        </w:tc>
        <w:tc>
          <w:tcPr>
            <w:tcW w:w="912" w:type="dxa"/>
            <w:tcBorders>
              <w:top w:val="nil"/>
              <w:left w:val="nil"/>
              <w:bottom w:val="single" w:color="auto" w:sz="8" w:space="0"/>
              <w:right w:val="single" w:color="auto" w:sz="8" w:space="0"/>
            </w:tcBorders>
            <w:noWrap/>
            <w:vAlign w:val="center"/>
          </w:tcPr>
          <w:p w14:paraId="726168E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w:t>
            </w:r>
          </w:p>
        </w:tc>
        <w:tc>
          <w:tcPr>
            <w:tcW w:w="912" w:type="dxa"/>
            <w:tcBorders>
              <w:top w:val="nil"/>
              <w:left w:val="nil"/>
              <w:bottom w:val="single" w:color="auto" w:sz="8" w:space="0"/>
              <w:right w:val="single" w:color="auto" w:sz="8" w:space="0"/>
            </w:tcBorders>
            <w:noWrap/>
            <w:vAlign w:val="center"/>
          </w:tcPr>
          <w:p w14:paraId="1E034A9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29</w:t>
            </w:r>
          </w:p>
        </w:tc>
        <w:tc>
          <w:tcPr>
            <w:tcW w:w="1736" w:type="dxa"/>
            <w:tcBorders>
              <w:top w:val="nil"/>
              <w:left w:val="nil"/>
              <w:bottom w:val="single" w:color="auto" w:sz="8" w:space="0"/>
              <w:right w:val="single" w:color="auto" w:sz="8" w:space="0"/>
            </w:tcBorders>
            <w:noWrap/>
            <w:vAlign w:val="center"/>
          </w:tcPr>
          <w:p w14:paraId="7F50DA9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w:t>
            </w:r>
          </w:p>
        </w:tc>
      </w:tr>
      <w:tr w14:paraId="36A50820">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3375AC9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35</w:t>
            </w:r>
          </w:p>
        </w:tc>
        <w:tc>
          <w:tcPr>
            <w:tcW w:w="912" w:type="dxa"/>
            <w:tcBorders>
              <w:top w:val="nil"/>
              <w:left w:val="nil"/>
              <w:bottom w:val="single" w:color="auto" w:sz="8" w:space="0"/>
              <w:right w:val="single" w:color="auto" w:sz="8" w:space="0"/>
            </w:tcBorders>
            <w:noWrap/>
            <w:vAlign w:val="center"/>
          </w:tcPr>
          <w:p w14:paraId="446AFAD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5724F53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基建公司院内停车场</w:t>
            </w:r>
          </w:p>
        </w:tc>
        <w:tc>
          <w:tcPr>
            <w:tcW w:w="912" w:type="dxa"/>
            <w:tcBorders>
              <w:top w:val="nil"/>
              <w:left w:val="nil"/>
              <w:bottom w:val="single" w:color="auto" w:sz="8" w:space="0"/>
              <w:right w:val="single" w:color="auto" w:sz="8" w:space="0"/>
            </w:tcBorders>
            <w:noWrap/>
            <w:vAlign w:val="center"/>
          </w:tcPr>
          <w:p w14:paraId="3FE0689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300</w:t>
            </w:r>
          </w:p>
        </w:tc>
        <w:tc>
          <w:tcPr>
            <w:tcW w:w="912" w:type="dxa"/>
            <w:tcBorders>
              <w:top w:val="nil"/>
              <w:left w:val="nil"/>
              <w:bottom w:val="single" w:color="auto" w:sz="8" w:space="0"/>
              <w:right w:val="single" w:color="auto" w:sz="8" w:space="0"/>
            </w:tcBorders>
            <w:noWrap/>
            <w:vAlign w:val="center"/>
          </w:tcPr>
          <w:p w14:paraId="1F1A583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31</w:t>
            </w:r>
          </w:p>
        </w:tc>
        <w:tc>
          <w:tcPr>
            <w:tcW w:w="912" w:type="dxa"/>
            <w:tcBorders>
              <w:top w:val="nil"/>
              <w:left w:val="nil"/>
              <w:bottom w:val="single" w:color="auto" w:sz="8" w:space="0"/>
              <w:right w:val="single" w:color="auto" w:sz="8" w:space="0"/>
            </w:tcBorders>
            <w:noWrap/>
            <w:vAlign w:val="center"/>
          </w:tcPr>
          <w:p w14:paraId="50B7995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14</w:t>
            </w:r>
          </w:p>
        </w:tc>
        <w:tc>
          <w:tcPr>
            <w:tcW w:w="1736" w:type="dxa"/>
            <w:tcBorders>
              <w:top w:val="nil"/>
              <w:left w:val="nil"/>
              <w:bottom w:val="single" w:color="auto" w:sz="8" w:space="0"/>
              <w:right w:val="single" w:color="auto" w:sz="8" w:space="0"/>
            </w:tcBorders>
            <w:noWrap/>
            <w:vAlign w:val="center"/>
          </w:tcPr>
          <w:p w14:paraId="2E816FA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45</w:t>
            </w:r>
          </w:p>
        </w:tc>
      </w:tr>
      <w:tr w14:paraId="4C48A20D">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74357EC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36</w:t>
            </w:r>
          </w:p>
        </w:tc>
        <w:tc>
          <w:tcPr>
            <w:tcW w:w="912" w:type="dxa"/>
            <w:tcBorders>
              <w:top w:val="nil"/>
              <w:left w:val="nil"/>
              <w:bottom w:val="single" w:color="auto" w:sz="8" w:space="0"/>
              <w:right w:val="single" w:color="auto" w:sz="8" w:space="0"/>
            </w:tcBorders>
            <w:noWrap/>
            <w:vAlign w:val="center"/>
          </w:tcPr>
          <w:p w14:paraId="434D794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E3167E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石嘴山市图书馆</w:t>
            </w:r>
          </w:p>
        </w:tc>
        <w:tc>
          <w:tcPr>
            <w:tcW w:w="912" w:type="dxa"/>
            <w:tcBorders>
              <w:top w:val="nil"/>
              <w:left w:val="nil"/>
              <w:bottom w:val="single" w:color="auto" w:sz="8" w:space="0"/>
              <w:right w:val="single" w:color="auto" w:sz="8" w:space="0"/>
            </w:tcBorders>
            <w:noWrap/>
            <w:vAlign w:val="center"/>
          </w:tcPr>
          <w:p w14:paraId="186B4EE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30</w:t>
            </w:r>
          </w:p>
        </w:tc>
        <w:tc>
          <w:tcPr>
            <w:tcW w:w="912" w:type="dxa"/>
            <w:tcBorders>
              <w:top w:val="nil"/>
              <w:left w:val="nil"/>
              <w:bottom w:val="single" w:color="auto" w:sz="8" w:space="0"/>
              <w:right w:val="single" w:color="auto" w:sz="8" w:space="0"/>
            </w:tcBorders>
            <w:noWrap/>
            <w:vAlign w:val="center"/>
          </w:tcPr>
          <w:p w14:paraId="67BF9D4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3D02B6E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2C30195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6CCA374C">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197DB43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37</w:t>
            </w:r>
          </w:p>
        </w:tc>
        <w:tc>
          <w:tcPr>
            <w:tcW w:w="912" w:type="dxa"/>
            <w:tcBorders>
              <w:top w:val="nil"/>
              <w:left w:val="nil"/>
              <w:bottom w:val="single" w:color="auto" w:sz="8" w:space="0"/>
              <w:right w:val="single" w:color="auto" w:sz="8" w:space="0"/>
            </w:tcBorders>
            <w:noWrap/>
            <w:vAlign w:val="center"/>
          </w:tcPr>
          <w:p w14:paraId="0676DC7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18F3EC0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军欣停车场</w:t>
            </w:r>
          </w:p>
        </w:tc>
        <w:tc>
          <w:tcPr>
            <w:tcW w:w="912" w:type="dxa"/>
            <w:tcBorders>
              <w:top w:val="nil"/>
              <w:left w:val="nil"/>
              <w:bottom w:val="single" w:color="auto" w:sz="8" w:space="0"/>
              <w:right w:val="single" w:color="auto" w:sz="8" w:space="0"/>
            </w:tcBorders>
            <w:noWrap/>
            <w:vAlign w:val="center"/>
          </w:tcPr>
          <w:p w14:paraId="60B30151">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50</w:t>
            </w:r>
          </w:p>
        </w:tc>
        <w:tc>
          <w:tcPr>
            <w:tcW w:w="912" w:type="dxa"/>
            <w:tcBorders>
              <w:top w:val="nil"/>
              <w:left w:val="nil"/>
              <w:bottom w:val="single" w:color="auto" w:sz="8" w:space="0"/>
              <w:right w:val="single" w:color="auto" w:sz="8" w:space="0"/>
            </w:tcBorders>
            <w:noWrap/>
            <w:vAlign w:val="center"/>
          </w:tcPr>
          <w:p w14:paraId="4E46576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7B947949">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c>
          <w:tcPr>
            <w:tcW w:w="1736" w:type="dxa"/>
            <w:tcBorders>
              <w:top w:val="nil"/>
              <w:left w:val="nil"/>
              <w:bottom w:val="single" w:color="auto" w:sz="8" w:space="0"/>
              <w:right w:val="single" w:color="auto" w:sz="8" w:space="0"/>
            </w:tcBorders>
            <w:noWrap/>
            <w:vAlign w:val="center"/>
          </w:tcPr>
          <w:p w14:paraId="09FDE86C">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8</w:t>
            </w:r>
          </w:p>
        </w:tc>
      </w:tr>
      <w:tr w14:paraId="439F7F3B">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24B8441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38</w:t>
            </w:r>
          </w:p>
        </w:tc>
        <w:tc>
          <w:tcPr>
            <w:tcW w:w="912" w:type="dxa"/>
            <w:tcBorders>
              <w:top w:val="nil"/>
              <w:left w:val="nil"/>
              <w:bottom w:val="single" w:color="auto" w:sz="8" w:space="0"/>
              <w:right w:val="single" w:color="auto" w:sz="8" w:space="0"/>
            </w:tcBorders>
            <w:noWrap/>
            <w:vAlign w:val="center"/>
          </w:tcPr>
          <w:p w14:paraId="4C17F18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4D9AA2F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丽锦公园北侧停车场</w:t>
            </w:r>
          </w:p>
        </w:tc>
        <w:tc>
          <w:tcPr>
            <w:tcW w:w="912" w:type="dxa"/>
            <w:tcBorders>
              <w:top w:val="nil"/>
              <w:left w:val="nil"/>
              <w:bottom w:val="single" w:color="auto" w:sz="8" w:space="0"/>
              <w:right w:val="single" w:color="auto" w:sz="8" w:space="0"/>
            </w:tcBorders>
            <w:noWrap/>
            <w:vAlign w:val="center"/>
          </w:tcPr>
          <w:p w14:paraId="406A910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18</w:t>
            </w:r>
          </w:p>
        </w:tc>
        <w:tc>
          <w:tcPr>
            <w:tcW w:w="912" w:type="dxa"/>
            <w:tcBorders>
              <w:top w:val="nil"/>
              <w:left w:val="nil"/>
              <w:bottom w:val="single" w:color="auto" w:sz="8" w:space="0"/>
              <w:right w:val="single" w:color="auto" w:sz="8" w:space="0"/>
            </w:tcBorders>
            <w:noWrap/>
            <w:vAlign w:val="center"/>
          </w:tcPr>
          <w:p w14:paraId="534BB02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19B2DCB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c>
          <w:tcPr>
            <w:tcW w:w="1736" w:type="dxa"/>
            <w:tcBorders>
              <w:top w:val="nil"/>
              <w:left w:val="nil"/>
              <w:bottom w:val="single" w:color="auto" w:sz="8" w:space="0"/>
              <w:right w:val="single" w:color="auto" w:sz="8" w:space="0"/>
            </w:tcBorders>
            <w:noWrap/>
            <w:vAlign w:val="center"/>
          </w:tcPr>
          <w:p w14:paraId="7DC9D93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5</w:t>
            </w:r>
          </w:p>
        </w:tc>
      </w:tr>
      <w:tr w14:paraId="168B32C9">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58E0C955">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39</w:t>
            </w:r>
          </w:p>
        </w:tc>
        <w:tc>
          <w:tcPr>
            <w:tcW w:w="912" w:type="dxa"/>
            <w:tcBorders>
              <w:top w:val="nil"/>
              <w:left w:val="nil"/>
              <w:bottom w:val="single" w:color="auto" w:sz="8" w:space="0"/>
              <w:right w:val="single" w:color="auto" w:sz="8" w:space="0"/>
            </w:tcBorders>
            <w:noWrap/>
            <w:vAlign w:val="center"/>
          </w:tcPr>
          <w:p w14:paraId="4298A5F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752481C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红锦园东侧停车场</w:t>
            </w:r>
          </w:p>
        </w:tc>
        <w:tc>
          <w:tcPr>
            <w:tcW w:w="912" w:type="dxa"/>
            <w:tcBorders>
              <w:top w:val="nil"/>
              <w:left w:val="nil"/>
              <w:bottom w:val="single" w:color="auto" w:sz="8" w:space="0"/>
              <w:right w:val="single" w:color="auto" w:sz="8" w:space="0"/>
            </w:tcBorders>
            <w:noWrap/>
            <w:vAlign w:val="center"/>
          </w:tcPr>
          <w:p w14:paraId="1494535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22</w:t>
            </w:r>
          </w:p>
        </w:tc>
        <w:tc>
          <w:tcPr>
            <w:tcW w:w="912" w:type="dxa"/>
            <w:tcBorders>
              <w:top w:val="nil"/>
              <w:left w:val="nil"/>
              <w:bottom w:val="single" w:color="auto" w:sz="8" w:space="0"/>
              <w:right w:val="single" w:color="auto" w:sz="8" w:space="0"/>
            </w:tcBorders>
            <w:noWrap/>
            <w:vAlign w:val="center"/>
          </w:tcPr>
          <w:p w14:paraId="194EF22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04AB793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c>
          <w:tcPr>
            <w:tcW w:w="1736" w:type="dxa"/>
            <w:tcBorders>
              <w:top w:val="nil"/>
              <w:left w:val="nil"/>
              <w:bottom w:val="single" w:color="auto" w:sz="8" w:space="0"/>
              <w:right w:val="single" w:color="auto" w:sz="8" w:space="0"/>
            </w:tcBorders>
            <w:noWrap/>
            <w:vAlign w:val="center"/>
          </w:tcPr>
          <w:p w14:paraId="4155E05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w:t>
            </w:r>
          </w:p>
        </w:tc>
      </w:tr>
      <w:tr w14:paraId="76115AA2">
        <w:tblPrEx>
          <w:tblCellMar>
            <w:top w:w="0" w:type="dxa"/>
            <w:left w:w="108" w:type="dxa"/>
            <w:bottom w:w="0" w:type="dxa"/>
            <w:right w:w="108" w:type="dxa"/>
          </w:tblCellMar>
        </w:tblPrEx>
        <w:trPr>
          <w:trHeight w:val="300" w:hRule="atLeast"/>
        </w:trPr>
        <w:tc>
          <w:tcPr>
            <w:tcW w:w="912" w:type="dxa"/>
            <w:tcBorders>
              <w:top w:val="nil"/>
              <w:left w:val="single" w:color="auto" w:sz="8" w:space="0"/>
              <w:bottom w:val="single" w:color="auto" w:sz="8" w:space="0"/>
              <w:right w:val="single" w:color="auto" w:sz="8" w:space="0"/>
            </w:tcBorders>
            <w:noWrap/>
            <w:vAlign w:val="center"/>
          </w:tcPr>
          <w:p w14:paraId="7527F4B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40</w:t>
            </w:r>
          </w:p>
        </w:tc>
        <w:tc>
          <w:tcPr>
            <w:tcW w:w="912" w:type="dxa"/>
            <w:tcBorders>
              <w:top w:val="nil"/>
              <w:left w:val="nil"/>
              <w:bottom w:val="single" w:color="auto" w:sz="8" w:space="0"/>
              <w:right w:val="single" w:color="auto" w:sz="8" w:space="0"/>
            </w:tcBorders>
            <w:noWrap/>
            <w:vAlign w:val="center"/>
          </w:tcPr>
          <w:p w14:paraId="18E3734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68C98B1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为民早市停车场</w:t>
            </w:r>
          </w:p>
        </w:tc>
        <w:tc>
          <w:tcPr>
            <w:tcW w:w="912" w:type="dxa"/>
            <w:tcBorders>
              <w:top w:val="nil"/>
              <w:left w:val="nil"/>
              <w:bottom w:val="single" w:color="auto" w:sz="8" w:space="0"/>
              <w:right w:val="single" w:color="auto" w:sz="8" w:space="0"/>
            </w:tcBorders>
            <w:noWrap/>
            <w:vAlign w:val="center"/>
          </w:tcPr>
          <w:p w14:paraId="16EA8CBD">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60</w:t>
            </w:r>
          </w:p>
        </w:tc>
        <w:tc>
          <w:tcPr>
            <w:tcW w:w="912" w:type="dxa"/>
            <w:tcBorders>
              <w:top w:val="nil"/>
              <w:left w:val="nil"/>
              <w:bottom w:val="single" w:color="auto" w:sz="8" w:space="0"/>
              <w:right w:val="single" w:color="auto" w:sz="8" w:space="0"/>
            </w:tcBorders>
            <w:noWrap/>
            <w:vAlign w:val="center"/>
          </w:tcPr>
          <w:p w14:paraId="3F25E0CA">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2B2D6CB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w:t>
            </w:r>
          </w:p>
        </w:tc>
        <w:tc>
          <w:tcPr>
            <w:tcW w:w="1736" w:type="dxa"/>
            <w:tcBorders>
              <w:top w:val="nil"/>
              <w:left w:val="nil"/>
              <w:bottom w:val="single" w:color="auto" w:sz="8" w:space="0"/>
              <w:right w:val="single" w:color="auto" w:sz="8" w:space="0"/>
            </w:tcBorders>
            <w:noWrap/>
            <w:vAlign w:val="center"/>
          </w:tcPr>
          <w:p w14:paraId="08B07F5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10</w:t>
            </w:r>
          </w:p>
        </w:tc>
      </w:tr>
      <w:tr w14:paraId="337173DB">
        <w:tblPrEx>
          <w:tblCellMar>
            <w:top w:w="0" w:type="dxa"/>
            <w:left w:w="108" w:type="dxa"/>
            <w:bottom w:w="0" w:type="dxa"/>
            <w:right w:w="108" w:type="dxa"/>
          </w:tblCellMar>
        </w:tblPrEx>
        <w:trPr>
          <w:trHeight w:val="315" w:hRule="atLeast"/>
        </w:trPr>
        <w:tc>
          <w:tcPr>
            <w:tcW w:w="912" w:type="dxa"/>
            <w:tcBorders>
              <w:top w:val="nil"/>
              <w:left w:val="single" w:color="auto" w:sz="8" w:space="0"/>
              <w:bottom w:val="single" w:color="auto" w:sz="8" w:space="0"/>
              <w:right w:val="single" w:color="auto" w:sz="8" w:space="0"/>
            </w:tcBorders>
            <w:noWrap/>
            <w:vAlign w:val="center"/>
          </w:tcPr>
          <w:p w14:paraId="12CEDDA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41</w:t>
            </w:r>
          </w:p>
        </w:tc>
        <w:tc>
          <w:tcPr>
            <w:tcW w:w="912" w:type="dxa"/>
            <w:tcBorders>
              <w:top w:val="nil"/>
              <w:left w:val="nil"/>
              <w:bottom w:val="single" w:color="auto" w:sz="8" w:space="0"/>
              <w:right w:val="single" w:color="auto" w:sz="8" w:space="0"/>
            </w:tcBorders>
            <w:noWrap/>
            <w:vAlign w:val="center"/>
          </w:tcPr>
          <w:p w14:paraId="25194F2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56FEEAC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汇君食府停车场</w:t>
            </w:r>
          </w:p>
        </w:tc>
        <w:tc>
          <w:tcPr>
            <w:tcW w:w="912" w:type="dxa"/>
            <w:tcBorders>
              <w:top w:val="nil"/>
              <w:left w:val="nil"/>
              <w:bottom w:val="single" w:color="auto" w:sz="8" w:space="0"/>
              <w:right w:val="single" w:color="auto" w:sz="8" w:space="0"/>
            </w:tcBorders>
            <w:noWrap/>
            <w:vAlign w:val="center"/>
          </w:tcPr>
          <w:p w14:paraId="0C80C88E">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60</w:t>
            </w:r>
          </w:p>
        </w:tc>
        <w:tc>
          <w:tcPr>
            <w:tcW w:w="912" w:type="dxa"/>
            <w:tcBorders>
              <w:top w:val="nil"/>
              <w:left w:val="nil"/>
              <w:bottom w:val="single" w:color="auto" w:sz="8" w:space="0"/>
              <w:right w:val="single" w:color="auto" w:sz="8" w:space="0"/>
            </w:tcBorders>
            <w:noWrap/>
            <w:vAlign w:val="center"/>
          </w:tcPr>
          <w:p w14:paraId="439AAC4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1FCFFE94">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6</w:t>
            </w:r>
          </w:p>
        </w:tc>
        <w:tc>
          <w:tcPr>
            <w:tcW w:w="1736" w:type="dxa"/>
            <w:tcBorders>
              <w:top w:val="nil"/>
              <w:left w:val="nil"/>
              <w:bottom w:val="single" w:color="auto" w:sz="8" w:space="0"/>
              <w:right w:val="single" w:color="auto" w:sz="8" w:space="0"/>
            </w:tcBorders>
            <w:noWrap/>
            <w:vAlign w:val="center"/>
          </w:tcPr>
          <w:p w14:paraId="096644FE">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6</w:t>
            </w:r>
          </w:p>
        </w:tc>
      </w:tr>
      <w:tr w14:paraId="745266AF">
        <w:tblPrEx>
          <w:tblCellMar>
            <w:top w:w="0" w:type="dxa"/>
            <w:left w:w="108" w:type="dxa"/>
            <w:bottom w:w="0" w:type="dxa"/>
            <w:right w:w="108" w:type="dxa"/>
          </w:tblCellMar>
        </w:tblPrEx>
        <w:trPr>
          <w:trHeight w:val="315" w:hRule="atLeast"/>
        </w:trPr>
        <w:tc>
          <w:tcPr>
            <w:tcW w:w="912" w:type="dxa"/>
            <w:tcBorders>
              <w:top w:val="nil"/>
              <w:left w:val="single" w:color="auto" w:sz="8" w:space="0"/>
              <w:bottom w:val="single" w:color="auto" w:sz="8" w:space="0"/>
              <w:right w:val="single" w:color="auto" w:sz="8" w:space="0"/>
            </w:tcBorders>
            <w:noWrap/>
            <w:vAlign w:val="center"/>
          </w:tcPr>
          <w:p w14:paraId="2276592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42</w:t>
            </w:r>
          </w:p>
        </w:tc>
        <w:tc>
          <w:tcPr>
            <w:tcW w:w="912" w:type="dxa"/>
            <w:tcBorders>
              <w:top w:val="nil"/>
              <w:left w:val="nil"/>
              <w:bottom w:val="single" w:color="auto" w:sz="8" w:space="0"/>
              <w:right w:val="single" w:color="auto" w:sz="8" w:space="0"/>
            </w:tcBorders>
            <w:noWrap/>
            <w:vAlign w:val="center"/>
          </w:tcPr>
          <w:p w14:paraId="3146D05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4B247C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凯欣大厦停车场</w:t>
            </w:r>
          </w:p>
        </w:tc>
        <w:tc>
          <w:tcPr>
            <w:tcW w:w="912" w:type="dxa"/>
            <w:tcBorders>
              <w:top w:val="nil"/>
              <w:left w:val="nil"/>
              <w:bottom w:val="single" w:color="auto" w:sz="8" w:space="0"/>
              <w:right w:val="single" w:color="auto" w:sz="8" w:space="0"/>
            </w:tcBorders>
            <w:noWrap/>
            <w:vAlign w:val="center"/>
          </w:tcPr>
          <w:p w14:paraId="46799343">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120</w:t>
            </w:r>
          </w:p>
        </w:tc>
        <w:tc>
          <w:tcPr>
            <w:tcW w:w="912" w:type="dxa"/>
            <w:tcBorders>
              <w:top w:val="nil"/>
              <w:left w:val="nil"/>
              <w:bottom w:val="single" w:color="auto" w:sz="8" w:space="0"/>
              <w:right w:val="single" w:color="auto" w:sz="8" w:space="0"/>
            </w:tcBorders>
            <w:noWrap/>
            <w:vAlign w:val="center"/>
          </w:tcPr>
          <w:p w14:paraId="41133A9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19BCB1F7">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12</w:t>
            </w:r>
          </w:p>
        </w:tc>
        <w:tc>
          <w:tcPr>
            <w:tcW w:w="1736" w:type="dxa"/>
            <w:tcBorders>
              <w:top w:val="nil"/>
              <w:left w:val="nil"/>
              <w:bottom w:val="single" w:color="auto" w:sz="8" w:space="0"/>
              <w:right w:val="single" w:color="auto" w:sz="8" w:space="0"/>
            </w:tcBorders>
            <w:noWrap/>
            <w:vAlign w:val="center"/>
          </w:tcPr>
          <w:p w14:paraId="77042027">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12</w:t>
            </w:r>
          </w:p>
        </w:tc>
      </w:tr>
      <w:tr w14:paraId="560034F6">
        <w:tblPrEx>
          <w:tblCellMar>
            <w:top w:w="0" w:type="dxa"/>
            <w:left w:w="108" w:type="dxa"/>
            <w:bottom w:w="0" w:type="dxa"/>
            <w:right w:w="108" w:type="dxa"/>
          </w:tblCellMar>
        </w:tblPrEx>
        <w:trPr>
          <w:trHeight w:val="315" w:hRule="atLeast"/>
        </w:trPr>
        <w:tc>
          <w:tcPr>
            <w:tcW w:w="912" w:type="dxa"/>
            <w:tcBorders>
              <w:top w:val="nil"/>
              <w:left w:val="single" w:color="auto" w:sz="8" w:space="0"/>
              <w:bottom w:val="single" w:color="auto" w:sz="8" w:space="0"/>
              <w:right w:val="single" w:color="auto" w:sz="8" w:space="0"/>
            </w:tcBorders>
            <w:noWrap/>
            <w:vAlign w:val="center"/>
          </w:tcPr>
          <w:p w14:paraId="183A44C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43</w:t>
            </w:r>
          </w:p>
        </w:tc>
        <w:tc>
          <w:tcPr>
            <w:tcW w:w="912" w:type="dxa"/>
            <w:tcBorders>
              <w:top w:val="nil"/>
              <w:left w:val="nil"/>
              <w:bottom w:val="single" w:color="auto" w:sz="8" w:space="0"/>
              <w:right w:val="single" w:color="auto" w:sz="8" w:space="0"/>
            </w:tcBorders>
            <w:noWrap/>
            <w:vAlign w:val="center"/>
          </w:tcPr>
          <w:p w14:paraId="0E6D7437">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1810275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第五人民医院停车场</w:t>
            </w:r>
          </w:p>
        </w:tc>
        <w:tc>
          <w:tcPr>
            <w:tcW w:w="912" w:type="dxa"/>
            <w:tcBorders>
              <w:top w:val="nil"/>
              <w:left w:val="nil"/>
              <w:bottom w:val="single" w:color="auto" w:sz="8" w:space="0"/>
              <w:right w:val="single" w:color="auto" w:sz="8" w:space="0"/>
            </w:tcBorders>
            <w:noWrap/>
            <w:vAlign w:val="center"/>
          </w:tcPr>
          <w:p w14:paraId="3EC2FC44">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425</w:t>
            </w:r>
          </w:p>
        </w:tc>
        <w:tc>
          <w:tcPr>
            <w:tcW w:w="912" w:type="dxa"/>
            <w:tcBorders>
              <w:top w:val="nil"/>
              <w:left w:val="nil"/>
              <w:bottom w:val="single" w:color="auto" w:sz="8" w:space="0"/>
              <w:right w:val="single" w:color="auto" w:sz="8" w:space="0"/>
            </w:tcBorders>
            <w:noWrap/>
            <w:vAlign w:val="center"/>
          </w:tcPr>
          <w:p w14:paraId="5954A29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1EEEEF59">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43</w:t>
            </w:r>
          </w:p>
        </w:tc>
        <w:tc>
          <w:tcPr>
            <w:tcW w:w="1736" w:type="dxa"/>
            <w:tcBorders>
              <w:top w:val="nil"/>
              <w:left w:val="nil"/>
              <w:bottom w:val="single" w:color="auto" w:sz="8" w:space="0"/>
              <w:right w:val="single" w:color="auto" w:sz="8" w:space="0"/>
            </w:tcBorders>
            <w:noWrap/>
            <w:vAlign w:val="center"/>
          </w:tcPr>
          <w:p w14:paraId="4F60F768">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43</w:t>
            </w:r>
          </w:p>
        </w:tc>
      </w:tr>
      <w:tr w14:paraId="0D237583">
        <w:tblPrEx>
          <w:tblCellMar>
            <w:top w:w="0" w:type="dxa"/>
            <w:left w:w="108" w:type="dxa"/>
            <w:bottom w:w="0" w:type="dxa"/>
            <w:right w:w="108" w:type="dxa"/>
          </w:tblCellMar>
        </w:tblPrEx>
        <w:trPr>
          <w:trHeight w:val="315" w:hRule="atLeast"/>
        </w:trPr>
        <w:tc>
          <w:tcPr>
            <w:tcW w:w="912" w:type="dxa"/>
            <w:tcBorders>
              <w:top w:val="nil"/>
              <w:left w:val="single" w:color="auto" w:sz="8" w:space="0"/>
              <w:bottom w:val="single" w:color="auto" w:sz="8" w:space="0"/>
              <w:right w:val="single" w:color="auto" w:sz="8" w:space="0"/>
            </w:tcBorders>
            <w:noWrap/>
            <w:vAlign w:val="center"/>
          </w:tcPr>
          <w:p w14:paraId="60FC9596">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44</w:t>
            </w:r>
          </w:p>
        </w:tc>
        <w:tc>
          <w:tcPr>
            <w:tcW w:w="912" w:type="dxa"/>
            <w:tcBorders>
              <w:top w:val="nil"/>
              <w:left w:val="nil"/>
              <w:bottom w:val="single" w:color="auto" w:sz="8" w:space="0"/>
              <w:right w:val="single" w:color="auto" w:sz="8" w:space="0"/>
            </w:tcBorders>
            <w:noWrap/>
            <w:vAlign w:val="center"/>
          </w:tcPr>
          <w:p w14:paraId="55037BA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公共停车场</w:t>
            </w:r>
          </w:p>
        </w:tc>
        <w:tc>
          <w:tcPr>
            <w:tcW w:w="2324" w:type="dxa"/>
            <w:tcBorders>
              <w:top w:val="nil"/>
              <w:left w:val="nil"/>
              <w:bottom w:val="single" w:color="auto" w:sz="8" w:space="0"/>
              <w:right w:val="single" w:color="auto" w:sz="8" w:space="0"/>
            </w:tcBorders>
            <w:noWrap/>
            <w:vAlign w:val="center"/>
          </w:tcPr>
          <w:p w14:paraId="01AA84B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中医院行政楼（原九柱集团）</w:t>
            </w:r>
          </w:p>
        </w:tc>
        <w:tc>
          <w:tcPr>
            <w:tcW w:w="912" w:type="dxa"/>
            <w:tcBorders>
              <w:top w:val="nil"/>
              <w:left w:val="nil"/>
              <w:bottom w:val="single" w:color="auto" w:sz="8" w:space="0"/>
              <w:right w:val="single" w:color="auto" w:sz="8" w:space="0"/>
            </w:tcBorders>
            <w:noWrap/>
            <w:vAlign w:val="center"/>
          </w:tcPr>
          <w:p w14:paraId="05B12C6F">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40</w:t>
            </w:r>
          </w:p>
        </w:tc>
        <w:tc>
          <w:tcPr>
            <w:tcW w:w="912" w:type="dxa"/>
            <w:tcBorders>
              <w:top w:val="nil"/>
              <w:left w:val="nil"/>
              <w:bottom w:val="single" w:color="auto" w:sz="8" w:space="0"/>
              <w:right w:val="single" w:color="auto" w:sz="8" w:space="0"/>
            </w:tcBorders>
            <w:noWrap/>
            <w:vAlign w:val="center"/>
          </w:tcPr>
          <w:p w14:paraId="79023F4B">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1"/>
                <w:szCs w:val="21"/>
              </w:rPr>
            </w:pPr>
            <w:r>
              <w:rPr>
                <w:rFonts w:eastAsia="等线" w:cs="Times New Roman"/>
                <w:color w:val="000000"/>
                <w:kern w:val="0"/>
                <w:sz w:val="21"/>
                <w:szCs w:val="21"/>
              </w:rPr>
              <w:t>0</w:t>
            </w:r>
          </w:p>
        </w:tc>
        <w:tc>
          <w:tcPr>
            <w:tcW w:w="912" w:type="dxa"/>
            <w:tcBorders>
              <w:top w:val="nil"/>
              <w:left w:val="nil"/>
              <w:bottom w:val="single" w:color="auto" w:sz="8" w:space="0"/>
              <w:right w:val="single" w:color="auto" w:sz="8" w:space="0"/>
            </w:tcBorders>
            <w:noWrap/>
            <w:vAlign w:val="center"/>
          </w:tcPr>
          <w:p w14:paraId="66430E14">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4</w:t>
            </w:r>
          </w:p>
        </w:tc>
        <w:tc>
          <w:tcPr>
            <w:tcW w:w="1736" w:type="dxa"/>
            <w:tcBorders>
              <w:top w:val="nil"/>
              <w:left w:val="nil"/>
              <w:bottom w:val="single" w:color="auto" w:sz="8" w:space="0"/>
              <w:right w:val="single" w:color="auto" w:sz="8" w:space="0"/>
            </w:tcBorders>
            <w:noWrap/>
            <w:vAlign w:val="center"/>
          </w:tcPr>
          <w:p w14:paraId="35801146">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eastAsia="方正仿宋_GB2312" w:cs="Times New Roman"/>
                <w:color w:val="000000"/>
                <w:kern w:val="0"/>
                <w:sz w:val="21"/>
                <w:szCs w:val="21"/>
              </w:rPr>
              <w:t>4</w:t>
            </w:r>
          </w:p>
        </w:tc>
      </w:tr>
      <w:tr w14:paraId="4CA4248E">
        <w:tblPrEx>
          <w:tblCellMar>
            <w:top w:w="0" w:type="dxa"/>
            <w:left w:w="108" w:type="dxa"/>
            <w:bottom w:w="0" w:type="dxa"/>
            <w:right w:w="108" w:type="dxa"/>
          </w:tblCellMar>
        </w:tblPrEx>
        <w:trPr>
          <w:trHeight w:val="315" w:hRule="atLeast"/>
        </w:trPr>
        <w:tc>
          <w:tcPr>
            <w:tcW w:w="4148" w:type="dxa"/>
            <w:gridSpan w:val="3"/>
            <w:tcBorders>
              <w:top w:val="single" w:color="auto" w:sz="8" w:space="0"/>
              <w:left w:val="single" w:color="auto" w:sz="8" w:space="0"/>
              <w:bottom w:val="single" w:color="auto" w:sz="4" w:space="0"/>
              <w:right w:val="single" w:color="000000" w:sz="8" w:space="0"/>
            </w:tcBorders>
            <w:noWrap/>
            <w:vAlign w:val="center"/>
          </w:tcPr>
          <w:p w14:paraId="245FD63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小计</w:t>
            </w:r>
          </w:p>
        </w:tc>
        <w:tc>
          <w:tcPr>
            <w:tcW w:w="912" w:type="dxa"/>
            <w:tcBorders>
              <w:top w:val="nil"/>
              <w:left w:val="nil"/>
              <w:bottom w:val="single" w:color="auto" w:sz="4" w:space="0"/>
              <w:right w:val="single" w:color="auto" w:sz="8" w:space="0"/>
            </w:tcBorders>
            <w:noWrap/>
            <w:vAlign w:val="center"/>
          </w:tcPr>
          <w:p w14:paraId="0BA9DB98">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5051</w:t>
            </w:r>
          </w:p>
        </w:tc>
        <w:tc>
          <w:tcPr>
            <w:tcW w:w="912" w:type="dxa"/>
            <w:tcBorders>
              <w:top w:val="nil"/>
              <w:left w:val="nil"/>
              <w:bottom w:val="single" w:color="auto" w:sz="4" w:space="0"/>
              <w:right w:val="single" w:color="auto" w:sz="8" w:space="0"/>
            </w:tcBorders>
            <w:noWrap/>
            <w:vAlign w:val="center"/>
          </w:tcPr>
          <w:p w14:paraId="0E5A0102">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165</w:t>
            </w:r>
          </w:p>
        </w:tc>
        <w:tc>
          <w:tcPr>
            <w:tcW w:w="912" w:type="dxa"/>
            <w:tcBorders>
              <w:top w:val="nil"/>
              <w:left w:val="nil"/>
              <w:bottom w:val="single" w:color="auto" w:sz="4" w:space="0"/>
              <w:right w:val="single" w:color="auto" w:sz="8" w:space="0"/>
            </w:tcBorders>
            <w:noWrap/>
            <w:vAlign w:val="center"/>
          </w:tcPr>
          <w:p w14:paraId="2DE55257">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512</w:t>
            </w:r>
          </w:p>
        </w:tc>
        <w:tc>
          <w:tcPr>
            <w:tcW w:w="1736" w:type="dxa"/>
            <w:tcBorders>
              <w:top w:val="nil"/>
              <w:left w:val="nil"/>
              <w:bottom w:val="single" w:color="auto" w:sz="4" w:space="0"/>
              <w:right w:val="single" w:color="auto" w:sz="8" w:space="0"/>
            </w:tcBorders>
            <w:noWrap/>
            <w:vAlign w:val="center"/>
          </w:tcPr>
          <w:p w14:paraId="51949850">
            <w:pPr>
              <w:pageBreakBefore w:val="0"/>
              <w:widowControl/>
              <w:kinsoku/>
              <w:wordWrap/>
              <w:overflowPunct/>
              <w:topLinePunct w:val="0"/>
              <w:autoSpaceDE/>
              <w:autoSpaceDN/>
              <w:bidi w:val="0"/>
              <w:adjustRightInd/>
              <w:snapToGrid/>
              <w:spacing w:line="560" w:lineRule="exact"/>
              <w:jc w:val="center"/>
              <w:rPr>
                <w:rFonts w:eastAsia="等线" w:cs="Times New Roman"/>
                <w:color w:val="000000"/>
                <w:kern w:val="0"/>
                <w:sz w:val="22"/>
                <w:szCs w:val="22"/>
              </w:rPr>
            </w:pPr>
            <w:r>
              <w:rPr>
                <w:rFonts w:eastAsia="等线" w:cs="Times New Roman"/>
                <w:color w:val="000000"/>
                <w:kern w:val="0"/>
                <w:sz w:val="22"/>
                <w:szCs w:val="22"/>
              </w:rPr>
              <w:t>677</w:t>
            </w:r>
          </w:p>
        </w:tc>
      </w:tr>
    </w:tbl>
    <w:p w14:paraId="2E67EEBE">
      <w:pPr>
        <w:pageBreakBefore w:val="0"/>
        <w:kinsoku/>
        <w:wordWrap/>
        <w:overflowPunct/>
        <w:topLinePunct w:val="0"/>
        <w:autoSpaceDE/>
        <w:autoSpaceDN/>
        <w:bidi w:val="0"/>
        <w:adjustRightInd/>
        <w:snapToGrid/>
        <w:spacing w:line="560" w:lineRule="exact"/>
        <w:ind w:firstLine="632" w:firstLineChars="200"/>
        <w:rPr>
          <w:rFonts w:hint="eastAsia" w:eastAsia="方正仿宋_GB2312" w:cs="Times New Roman"/>
          <w:kern w:val="0"/>
          <w:szCs w:val="32"/>
        </w:rPr>
      </w:pPr>
      <w:r>
        <w:rPr>
          <w:rFonts w:eastAsia="方正仿宋_GB2312" w:cs="Times New Roman"/>
          <w:kern w:val="0"/>
          <w:szCs w:val="32"/>
        </w:rPr>
        <w:t>至2028年，</w:t>
      </w:r>
      <w:r>
        <w:rPr>
          <w:rFonts w:hint="eastAsia" w:eastAsia="方正仿宋_GB2312" w:cs="Times New Roman"/>
          <w:kern w:val="0"/>
          <w:szCs w:val="32"/>
        </w:rPr>
        <w:t>重点区域新增充电桩512台。其中，17处商业服务公共区域新增</w:t>
      </w:r>
      <w:r>
        <w:rPr>
          <w:rFonts w:eastAsia="方正仿宋_GB2312" w:cs="Times New Roman"/>
          <w:kern w:val="0"/>
          <w:szCs w:val="32"/>
        </w:rPr>
        <w:t>充电桩不少于</w:t>
      </w:r>
      <w:r>
        <w:rPr>
          <w:rFonts w:hint="eastAsia" w:eastAsia="方正仿宋_GB2312" w:cs="Times New Roman"/>
          <w:kern w:val="0"/>
          <w:szCs w:val="32"/>
        </w:rPr>
        <w:t>138</w:t>
      </w:r>
      <w:r>
        <w:rPr>
          <w:rFonts w:eastAsia="方正仿宋_GB2312" w:cs="Times New Roman"/>
          <w:kern w:val="0"/>
          <w:szCs w:val="32"/>
        </w:rPr>
        <w:t>台</w:t>
      </w:r>
      <w:r>
        <w:rPr>
          <w:rFonts w:hint="eastAsia" w:eastAsia="方正仿宋_GB2312" w:cs="Times New Roman"/>
          <w:kern w:val="0"/>
          <w:szCs w:val="32"/>
        </w:rPr>
        <w:t>，27处现有公共停车场内新增</w:t>
      </w:r>
      <w:r>
        <w:rPr>
          <w:rFonts w:eastAsia="方正仿宋_GB2312" w:cs="Times New Roman"/>
          <w:kern w:val="0"/>
          <w:szCs w:val="32"/>
        </w:rPr>
        <w:t>充电桩不少于</w:t>
      </w:r>
      <w:r>
        <w:rPr>
          <w:rFonts w:hint="eastAsia" w:eastAsia="方正仿宋_GB2312" w:cs="Times New Roman"/>
          <w:kern w:val="0"/>
          <w:szCs w:val="32"/>
        </w:rPr>
        <w:t>374</w:t>
      </w:r>
      <w:r>
        <w:rPr>
          <w:rFonts w:eastAsia="方正仿宋_GB2312" w:cs="Times New Roman"/>
          <w:kern w:val="0"/>
          <w:szCs w:val="32"/>
        </w:rPr>
        <w:t>台</w:t>
      </w:r>
      <w:r>
        <w:rPr>
          <w:rFonts w:hint="eastAsia" w:eastAsia="方正仿宋_GB2312" w:cs="Times New Roman"/>
          <w:kern w:val="0"/>
          <w:szCs w:val="32"/>
        </w:rPr>
        <w:t>。</w:t>
      </w:r>
    </w:p>
    <w:p w14:paraId="243DC119">
      <w:pPr>
        <w:pStyle w:val="2"/>
      </w:pPr>
    </w:p>
    <w:p w14:paraId="704AE012"/>
    <w:p w14:paraId="21B058B2">
      <w:pPr>
        <w:pStyle w:val="2"/>
      </w:pPr>
    </w:p>
    <w:p w14:paraId="5DBC459D"/>
    <w:p w14:paraId="5A7045D0">
      <w:pPr>
        <w:pStyle w:val="2"/>
      </w:pPr>
      <w:r>
        <w:rPr>
          <w:rFonts w:hint="eastAsia" w:eastAsia="方正仿宋_GB2312" w:cs="Times New Roman"/>
          <w:b/>
          <w:bCs/>
          <w:kern w:val="0"/>
          <w:sz w:val="28"/>
          <w:szCs w:val="28"/>
        </w:rPr>
        <w:drawing>
          <wp:anchor distT="0" distB="0" distL="0" distR="0" simplePos="0" relativeHeight="251660288" behindDoc="0" locked="0" layoutInCell="1" allowOverlap="1">
            <wp:simplePos x="0" y="0"/>
            <wp:positionH relativeFrom="column">
              <wp:posOffset>99060</wp:posOffset>
            </wp:positionH>
            <wp:positionV relativeFrom="paragraph">
              <wp:posOffset>-16510</wp:posOffset>
            </wp:positionV>
            <wp:extent cx="5375275" cy="6257925"/>
            <wp:effectExtent l="0" t="0" r="0" b="9525"/>
            <wp:wrapNone/>
            <wp:docPr id="1027" name="图片 3"/>
            <wp:cNvGraphicFramePr/>
            <a:graphic xmlns:a="http://schemas.openxmlformats.org/drawingml/2006/main">
              <a:graphicData uri="http://schemas.openxmlformats.org/drawingml/2006/picture">
                <pic:pic xmlns:pic="http://schemas.openxmlformats.org/drawingml/2006/picture">
                  <pic:nvPicPr>
                    <pic:cNvPr id="1027"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3796" cy="6279850"/>
                    </a:xfrm>
                    <a:prstGeom prst="rect">
                      <a:avLst/>
                    </a:prstGeom>
                  </pic:spPr>
                </pic:pic>
              </a:graphicData>
            </a:graphic>
          </wp:anchor>
        </w:drawing>
      </w:r>
    </w:p>
    <w:p w14:paraId="598BBA62"/>
    <w:p w14:paraId="6FD31B43">
      <w:pPr>
        <w:pStyle w:val="2"/>
      </w:pPr>
    </w:p>
    <w:p w14:paraId="17492400"/>
    <w:p w14:paraId="33C8ABF0">
      <w:pPr>
        <w:pStyle w:val="2"/>
      </w:pPr>
    </w:p>
    <w:p w14:paraId="538EB074"/>
    <w:p w14:paraId="387DC4CF">
      <w:pPr>
        <w:pStyle w:val="2"/>
      </w:pPr>
    </w:p>
    <w:p w14:paraId="5AECDEC3"/>
    <w:p w14:paraId="12B23734">
      <w:pPr>
        <w:pStyle w:val="2"/>
      </w:pPr>
    </w:p>
    <w:p w14:paraId="6B99A327"/>
    <w:p w14:paraId="49740143">
      <w:pPr>
        <w:pStyle w:val="2"/>
      </w:pPr>
    </w:p>
    <w:p w14:paraId="063BD580"/>
    <w:p w14:paraId="643EC650">
      <w:pPr>
        <w:pageBreakBefore w:val="0"/>
        <w:kinsoku/>
        <w:wordWrap/>
        <w:overflowPunct/>
        <w:topLinePunct w:val="0"/>
        <w:autoSpaceDE/>
        <w:autoSpaceDN/>
        <w:bidi w:val="0"/>
        <w:adjustRightInd/>
        <w:snapToGrid/>
        <w:spacing w:line="560" w:lineRule="exact"/>
        <w:jc w:val="center"/>
        <w:rPr>
          <w:rFonts w:eastAsia="方正仿宋_GB2312" w:cs="Times New Roman"/>
          <w:b/>
          <w:bCs/>
          <w:kern w:val="0"/>
          <w:sz w:val="28"/>
          <w:szCs w:val="28"/>
        </w:rPr>
      </w:pPr>
    </w:p>
    <w:p w14:paraId="574ADC5A">
      <w:pPr>
        <w:pageBreakBefore w:val="0"/>
        <w:kinsoku/>
        <w:wordWrap/>
        <w:overflowPunct/>
        <w:topLinePunct w:val="0"/>
        <w:autoSpaceDE/>
        <w:autoSpaceDN/>
        <w:bidi w:val="0"/>
        <w:adjustRightInd/>
        <w:snapToGrid/>
        <w:spacing w:line="560" w:lineRule="exact"/>
        <w:jc w:val="center"/>
        <w:rPr>
          <w:rFonts w:eastAsia="黑体" w:cs="Times New Roman"/>
          <w:sz w:val="28"/>
          <w:szCs w:val="28"/>
        </w:rPr>
      </w:pPr>
      <w:r>
        <w:rPr>
          <w:rFonts w:hint="eastAsia" w:eastAsia="黑体" w:cs="Times New Roman"/>
          <w:sz w:val="28"/>
          <w:szCs w:val="28"/>
        </w:rPr>
        <w:t>图2 重点区域充电设施位置示意图</w:t>
      </w:r>
    </w:p>
    <w:p w14:paraId="17CE490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p>
    <w:p w14:paraId="6DF45B1C">
      <w:pPr>
        <w:pageBreakBefore w:val="0"/>
        <w:kinsoku/>
        <w:wordWrap/>
        <w:overflowPunct/>
        <w:topLinePunct w:val="0"/>
        <w:autoSpaceDE/>
        <w:autoSpaceDN/>
        <w:bidi w:val="0"/>
        <w:adjustRightInd/>
        <w:snapToGrid/>
        <w:spacing w:line="560" w:lineRule="exact"/>
        <w:ind w:firstLine="632" w:firstLineChars="200"/>
        <w:rPr>
          <w:rFonts w:hint="eastAsia" w:ascii="方正仿宋_GB2312" w:hAnsi="方正仿宋_GB2312" w:eastAsia="方正仿宋_GB2312" w:cs="Times New Roman"/>
          <w:kern w:val="0"/>
          <w:szCs w:val="32"/>
        </w:rPr>
      </w:pPr>
      <w:r>
        <w:rPr>
          <w:rFonts w:eastAsia="方正仿宋_GB2312" w:cs="Times New Roman"/>
          <w:b/>
          <w:bCs/>
          <w:kern w:val="0"/>
          <w:szCs w:val="32"/>
        </w:rPr>
        <w:t>3.</w:t>
      </w:r>
      <w:r>
        <w:rPr>
          <w:rFonts w:hint="eastAsia" w:ascii="方正仿宋_GB2312" w:hAnsi="方正仿宋_GB2312" w:eastAsia="方正仿宋_GB2312" w:cs="Times New Roman"/>
          <w:b/>
          <w:bCs/>
          <w:kern w:val="0"/>
          <w:szCs w:val="32"/>
        </w:rPr>
        <w:t>拓展乡村与景区场景</w:t>
      </w:r>
    </w:p>
    <w:p w14:paraId="52582906">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b/>
          <w:bCs/>
          <w:kern w:val="0"/>
          <w:szCs w:val="32"/>
        </w:rPr>
        <w:t>乡村场景精准覆盖。</w:t>
      </w:r>
      <w:r>
        <w:rPr>
          <w:rFonts w:hint="eastAsia" w:eastAsia="方正仿宋_GB2312" w:cs="Times New Roman"/>
          <w:kern w:val="0"/>
          <w:szCs w:val="32"/>
        </w:rPr>
        <w:t>以“乡镇核心站+村级补位点”模式推动乡村充电设施全域下沉，对12个行政村，根据村民充电需求情况，依托村委会、活动广场、空闲用地建设快充终端的补位站点，将乡村充电服务半径缩短至10分钟以内。</w:t>
      </w:r>
    </w:p>
    <w:p w14:paraId="73C4845B">
      <w:pPr>
        <w:pStyle w:val="7"/>
        <w:pageBreakBefore w:val="0"/>
        <w:kinsoku/>
        <w:wordWrap/>
        <w:overflowPunct/>
        <w:topLinePunct w:val="0"/>
        <w:autoSpaceDE/>
        <w:autoSpaceDN/>
        <w:bidi w:val="0"/>
        <w:adjustRightInd/>
        <w:snapToGrid/>
        <w:spacing w:line="560" w:lineRule="exact"/>
        <w:jc w:val="center"/>
        <w:rPr>
          <w:rFonts w:ascii="Times New Roman" w:hAnsi="Times New Roman" w:cs="Times New Roman"/>
          <w:sz w:val="28"/>
          <w:szCs w:val="28"/>
        </w:rPr>
      </w:pPr>
      <w:r>
        <w:rPr>
          <w:rFonts w:ascii="Times New Roman" w:hAnsi="Times New Roman" w:cs="Times New Roman"/>
          <w:sz w:val="28"/>
          <w:szCs w:val="28"/>
        </w:rPr>
        <w:t>表</w:t>
      </w:r>
      <w:r>
        <w:rPr>
          <w:rFonts w:hint="eastAsia" w:ascii="Times New Roman" w:hAnsi="Times New Roman" w:cs="Times New Roman"/>
          <w:sz w:val="28"/>
          <w:szCs w:val="28"/>
        </w:rPr>
        <w:t>4 乡村场景</w:t>
      </w:r>
      <w:r>
        <w:rPr>
          <w:rFonts w:ascii="Times New Roman" w:hAnsi="Times New Roman" w:cs="Times New Roman"/>
          <w:sz w:val="28"/>
          <w:szCs w:val="28"/>
        </w:rPr>
        <w:t>充电设施建设统计表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464"/>
        <w:gridCol w:w="3204"/>
        <w:gridCol w:w="1464"/>
        <w:gridCol w:w="1464"/>
      </w:tblGrid>
      <w:tr w14:paraId="2BD6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trPr>
        <w:tc>
          <w:tcPr>
            <w:tcW w:w="808" w:type="pct"/>
            <w:noWrap/>
            <w:vAlign w:val="center"/>
          </w:tcPr>
          <w:p w14:paraId="5516838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序号</w:t>
            </w:r>
          </w:p>
        </w:tc>
        <w:tc>
          <w:tcPr>
            <w:tcW w:w="808" w:type="pct"/>
            <w:noWrap/>
            <w:vAlign w:val="center"/>
          </w:tcPr>
          <w:p w14:paraId="5BC1B90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类型</w:t>
            </w:r>
          </w:p>
        </w:tc>
        <w:tc>
          <w:tcPr>
            <w:tcW w:w="1767" w:type="pct"/>
            <w:noWrap/>
            <w:vAlign w:val="center"/>
          </w:tcPr>
          <w:p w14:paraId="31E3FE3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充电站名称</w:t>
            </w:r>
          </w:p>
        </w:tc>
        <w:tc>
          <w:tcPr>
            <w:tcW w:w="808" w:type="pct"/>
            <w:vAlign w:val="center"/>
          </w:tcPr>
          <w:p w14:paraId="43B80E5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车位数量</w:t>
            </w:r>
          </w:p>
          <w:p w14:paraId="129D2296">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（个）</w:t>
            </w:r>
          </w:p>
        </w:tc>
        <w:tc>
          <w:tcPr>
            <w:tcW w:w="808" w:type="pct"/>
            <w:vAlign w:val="center"/>
          </w:tcPr>
          <w:p w14:paraId="31447F5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新增充电桩数量（台）</w:t>
            </w:r>
          </w:p>
        </w:tc>
      </w:tr>
      <w:tr w14:paraId="067A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5D6BD52A">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w:t>
            </w:r>
          </w:p>
        </w:tc>
        <w:tc>
          <w:tcPr>
            <w:tcW w:w="808" w:type="pct"/>
            <w:noWrap/>
            <w:vAlign w:val="center"/>
          </w:tcPr>
          <w:p w14:paraId="0CDD9C2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2CBB58B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枣香村充电站</w:t>
            </w:r>
          </w:p>
        </w:tc>
        <w:tc>
          <w:tcPr>
            <w:tcW w:w="808" w:type="pct"/>
            <w:vAlign w:val="center"/>
          </w:tcPr>
          <w:p w14:paraId="2A47E75C">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8</w:t>
            </w:r>
          </w:p>
        </w:tc>
        <w:tc>
          <w:tcPr>
            <w:tcW w:w="808" w:type="pct"/>
            <w:vAlign w:val="center"/>
          </w:tcPr>
          <w:p w14:paraId="23837DB4">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6C99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185A4CA5">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w:t>
            </w:r>
          </w:p>
        </w:tc>
        <w:tc>
          <w:tcPr>
            <w:tcW w:w="808" w:type="pct"/>
            <w:noWrap/>
            <w:vAlign w:val="center"/>
          </w:tcPr>
          <w:p w14:paraId="5B3B1E1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05FE7BD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富民村充电站</w:t>
            </w:r>
          </w:p>
        </w:tc>
        <w:tc>
          <w:tcPr>
            <w:tcW w:w="808" w:type="pct"/>
            <w:vAlign w:val="center"/>
          </w:tcPr>
          <w:p w14:paraId="0EE21AB6">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13</w:t>
            </w:r>
          </w:p>
        </w:tc>
        <w:tc>
          <w:tcPr>
            <w:tcW w:w="808" w:type="pct"/>
            <w:vAlign w:val="center"/>
          </w:tcPr>
          <w:p w14:paraId="13277AA8">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36F0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4DE8633E">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c>
          <w:tcPr>
            <w:tcW w:w="808" w:type="pct"/>
            <w:noWrap/>
            <w:vAlign w:val="center"/>
          </w:tcPr>
          <w:p w14:paraId="67340E7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531C26B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星海村充电站</w:t>
            </w:r>
          </w:p>
        </w:tc>
        <w:tc>
          <w:tcPr>
            <w:tcW w:w="808" w:type="pct"/>
            <w:vAlign w:val="center"/>
          </w:tcPr>
          <w:p w14:paraId="7A058CB2">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10</w:t>
            </w:r>
          </w:p>
        </w:tc>
        <w:tc>
          <w:tcPr>
            <w:tcW w:w="808" w:type="pct"/>
            <w:vAlign w:val="center"/>
          </w:tcPr>
          <w:p w14:paraId="41F3898A">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0AB3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3E32A232">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4</w:t>
            </w:r>
          </w:p>
        </w:tc>
        <w:tc>
          <w:tcPr>
            <w:tcW w:w="808" w:type="pct"/>
            <w:noWrap/>
            <w:vAlign w:val="center"/>
          </w:tcPr>
          <w:p w14:paraId="378529C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0A9FF04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祥河村充电站</w:t>
            </w:r>
          </w:p>
        </w:tc>
        <w:tc>
          <w:tcPr>
            <w:tcW w:w="808" w:type="pct"/>
            <w:vAlign w:val="center"/>
          </w:tcPr>
          <w:p w14:paraId="34D10CB0">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10</w:t>
            </w:r>
          </w:p>
        </w:tc>
        <w:tc>
          <w:tcPr>
            <w:tcW w:w="808" w:type="pct"/>
            <w:vAlign w:val="center"/>
          </w:tcPr>
          <w:p w14:paraId="52E08751">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2046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36213C39">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5</w:t>
            </w:r>
          </w:p>
        </w:tc>
        <w:tc>
          <w:tcPr>
            <w:tcW w:w="808" w:type="pct"/>
            <w:noWrap/>
            <w:vAlign w:val="center"/>
          </w:tcPr>
          <w:p w14:paraId="3410295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6B0F48F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果园村充电站</w:t>
            </w:r>
          </w:p>
        </w:tc>
        <w:tc>
          <w:tcPr>
            <w:tcW w:w="808" w:type="pct"/>
            <w:vAlign w:val="center"/>
          </w:tcPr>
          <w:p w14:paraId="446E514B">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12</w:t>
            </w:r>
          </w:p>
        </w:tc>
        <w:tc>
          <w:tcPr>
            <w:tcW w:w="808" w:type="pct"/>
            <w:vAlign w:val="center"/>
          </w:tcPr>
          <w:p w14:paraId="57317AF1">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144A6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4715097C">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c>
          <w:tcPr>
            <w:tcW w:w="808" w:type="pct"/>
            <w:noWrap/>
            <w:vAlign w:val="center"/>
          </w:tcPr>
          <w:p w14:paraId="0D19C74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30FF5BA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隆惠村充电站</w:t>
            </w:r>
          </w:p>
        </w:tc>
        <w:tc>
          <w:tcPr>
            <w:tcW w:w="808" w:type="pct"/>
            <w:vAlign w:val="center"/>
          </w:tcPr>
          <w:p w14:paraId="4F6B82C9">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22</w:t>
            </w:r>
          </w:p>
        </w:tc>
        <w:tc>
          <w:tcPr>
            <w:tcW w:w="808" w:type="pct"/>
            <w:vAlign w:val="center"/>
          </w:tcPr>
          <w:p w14:paraId="6A853B8C">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5EA9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0501E2EE">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7</w:t>
            </w:r>
          </w:p>
        </w:tc>
        <w:tc>
          <w:tcPr>
            <w:tcW w:w="808" w:type="pct"/>
            <w:noWrap/>
            <w:vAlign w:val="center"/>
          </w:tcPr>
          <w:p w14:paraId="346B716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18EAEF1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星光村充电站</w:t>
            </w:r>
          </w:p>
        </w:tc>
        <w:tc>
          <w:tcPr>
            <w:tcW w:w="808" w:type="pct"/>
            <w:vAlign w:val="center"/>
          </w:tcPr>
          <w:p w14:paraId="07E3EBD4">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c>
          <w:tcPr>
            <w:tcW w:w="808" w:type="pct"/>
            <w:vAlign w:val="center"/>
          </w:tcPr>
          <w:p w14:paraId="4DDAD1A5">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539D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2B4D8155">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8</w:t>
            </w:r>
          </w:p>
        </w:tc>
        <w:tc>
          <w:tcPr>
            <w:tcW w:w="808" w:type="pct"/>
            <w:noWrap/>
            <w:vAlign w:val="center"/>
          </w:tcPr>
          <w:p w14:paraId="5767713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36704FC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临湖村充电站</w:t>
            </w:r>
          </w:p>
        </w:tc>
        <w:tc>
          <w:tcPr>
            <w:tcW w:w="808" w:type="pct"/>
            <w:vAlign w:val="center"/>
          </w:tcPr>
          <w:p w14:paraId="0DB199F4">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20</w:t>
            </w:r>
          </w:p>
        </w:tc>
        <w:tc>
          <w:tcPr>
            <w:tcW w:w="808" w:type="pct"/>
            <w:vAlign w:val="center"/>
          </w:tcPr>
          <w:p w14:paraId="716BE780">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29577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4AFE9696">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9</w:t>
            </w:r>
          </w:p>
        </w:tc>
        <w:tc>
          <w:tcPr>
            <w:tcW w:w="808" w:type="pct"/>
            <w:noWrap/>
            <w:vAlign w:val="center"/>
          </w:tcPr>
          <w:p w14:paraId="23E3CFD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75A9FCD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长胜村充电站</w:t>
            </w:r>
          </w:p>
        </w:tc>
        <w:tc>
          <w:tcPr>
            <w:tcW w:w="808" w:type="pct"/>
            <w:vAlign w:val="center"/>
          </w:tcPr>
          <w:p w14:paraId="1554CC39">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20</w:t>
            </w:r>
          </w:p>
        </w:tc>
        <w:tc>
          <w:tcPr>
            <w:tcW w:w="808" w:type="pct"/>
            <w:vAlign w:val="center"/>
          </w:tcPr>
          <w:p w14:paraId="712B6891">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6CA7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1B5379F0">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10</w:t>
            </w:r>
          </w:p>
        </w:tc>
        <w:tc>
          <w:tcPr>
            <w:tcW w:w="808" w:type="pct"/>
            <w:noWrap/>
            <w:vAlign w:val="center"/>
          </w:tcPr>
          <w:p w14:paraId="6C799D3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109032B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潮湖村充电站</w:t>
            </w:r>
          </w:p>
        </w:tc>
        <w:tc>
          <w:tcPr>
            <w:tcW w:w="808" w:type="pct"/>
            <w:vAlign w:val="center"/>
          </w:tcPr>
          <w:p w14:paraId="06F5C50A">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20</w:t>
            </w:r>
          </w:p>
        </w:tc>
        <w:tc>
          <w:tcPr>
            <w:tcW w:w="808" w:type="pct"/>
            <w:vAlign w:val="center"/>
          </w:tcPr>
          <w:p w14:paraId="1D94B31A">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r>
      <w:tr w14:paraId="3B56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78DF4DAD">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11</w:t>
            </w:r>
          </w:p>
        </w:tc>
        <w:tc>
          <w:tcPr>
            <w:tcW w:w="808" w:type="pct"/>
            <w:noWrap/>
            <w:vAlign w:val="center"/>
          </w:tcPr>
          <w:p w14:paraId="29B3D24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7296749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兴民村充电站</w:t>
            </w:r>
          </w:p>
        </w:tc>
        <w:tc>
          <w:tcPr>
            <w:tcW w:w="808" w:type="pct"/>
            <w:vAlign w:val="center"/>
          </w:tcPr>
          <w:p w14:paraId="110472D2">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40</w:t>
            </w:r>
          </w:p>
        </w:tc>
        <w:tc>
          <w:tcPr>
            <w:tcW w:w="808" w:type="pct"/>
            <w:vAlign w:val="center"/>
          </w:tcPr>
          <w:p w14:paraId="72B5965D">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19</w:t>
            </w:r>
          </w:p>
        </w:tc>
      </w:tr>
      <w:tr w14:paraId="01EF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08" w:type="pct"/>
            <w:noWrap/>
            <w:vAlign w:val="center"/>
          </w:tcPr>
          <w:p w14:paraId="79682709">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12</w:t>
            </w:r>
          </w:p>
        </w:tc>
        <w:tc>
          <w:tcPr>
            <w:tcW w:w="808" w:type="pct"/>
            <w:noWrap/>
            <w:vAlign w:val="center"/>
          </w:tcPr>
          <w:p w14:paraId="2BAE89C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乡村</w:t>
            </w:r>
          </w:p>
        </w:tc>
        <w:tc>
          <w:tcPr>
            <w:tcW w:w="1767" w:type="pct"/>
            <w:noWrap/>
            <w:vAlign w:val="center"/>
          </w:tcPr>
          <w:p w14:paraId="61E8FE9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龙泉村充电站</w:t>
            </w:r>
          </w:p>
        </w:tc>
        <w:tc>
          <w:tcPr>
            <w:tcW w:w="808" w:type="pct"/>
            <w:vAlign w:val="center"/>
          </w:tcPr>
          <w:p w14:paraId="427C02DB">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50</w:t>
            </w:r>
          </w:p>
        </w:tc>
        <w:tc>
          <w:tcPr>
            <w:tcW w:w="808" w:type="pct"/>
            <w:vAlign w:val="center"/>
          </w:tcPr>
          <w:p w14:paraId="2A866C25">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r>
      <w:tr w14:paraId="36F8B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384" w:type="pct"/>
            <w:gridSpan w:val="3"/>
            <w:noWrap/>
            <w:vAlign w:val="center"/>
          </w:tcPr>
          <w:p w14:paraId="5C11B21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b/>
                <w:bCs/>
                <w:color w:val="000000"/>
                <w:kern w:val="0"/>
                <w:sz w:val="21"/>
                <w:szCs w:val="21"/>
              </w:rPr>
            </w:pPr>
            <w:r>
              <w:rPr>
                <w:rFonts w:hint="eastAsia" w:ascii="方正仿宋_GB2312" w:hAnsi="方正仿宋_GB2312" w:eastAsia="方正仿宋_GB2312"/>
                <w:b/>
                <w:bCs/>
                <w:color w:val="000000"/>
                <w:kern w:val="0"/>
                <w:sz w:val="21"/>
                <w:szCs w:val="21"/>
              </w:rPr>
              <w:t>小计</w:t>
            </w:r>
          </w:p>
        </w:tc>
        <w:tc>
          <w:tcPr>
            <w:tcW w:w="808" w:type="pct"/>
            <w:vAlign w:val="center"/>
          </w:tcPr>
          <w:p w14:paraId="2DEB18D8">
            <w:pPr>
              <w:pageBreakBefore w:val="0"/>
              <w:widowControl/>
              <w:kinsoku/>
              <w:wordWrap/>
              <w:overflowPunct/>
              <w:topLinePunct w:val="0"/>
              <w:autoSpaceDE/>
              <w:autoSpaceDN/>
              <w:bidi w:val="0"/>
              <w:adjustRightInd/>
              <w:snapToGrid/>
              <w:spacing w:line="560" w:lineRule="exact"/>
              <w:jc w:val="center"/>
              <w:rPr>
                <w:rFonts w:eastAsia="仿宋" w:cs="Times New Roman"/>
                <w:b/>
                <w:bCs/>
                <w:color w:val="000000"/>
                <w:kern w:val="0"/>
                <w:sz w:val="21"/>
                <w:szCs w:val="21"/>
              </w:rPr>
            </w:pPr>
            <w:r>
              <w:rPr>
                <w:rFonts w:eastAsia="仿宋" w:cs="Times New Roman"/>
                <w:b/>
                <w:bCs/>
                <w:color w:val="000000"/>
                <w:kern w:val="0"/>
                <w:sz w:val="21"/>
                <w:szCs w:val="21"/>
              </w:rPr>
              <w:t>231</w:t>
            </w:r>
          </w:p>
        </w:tc>
        <w:tc>
          <w:tcPr>
            <w:tcW w:w="808" w:type="pct"/>
            <w:vAlign w:val="center"/>
          </w:tcPr>
          <w:p w14:paraId="2F24EF2F">
            <w:pPr>
              <w:pageBreakBefore w:val="0"/>
              <w:widowControl/>
              <w:kinsoku/>
              <w:wordWrap/>
              <w:overflowPunct/>
              <w:topLinePunct w:val="0"/>
              <w:autoSpaceDE/>
              <w:autoSpaceDN/>
              <w:bidi w:val="0"/>
              <w:adjustRightInd/>
              <w:snapToGrid/>
              <w:spacing w:line="560" w:lineRule="exact"/>
              <w:jc w:val="center"/>
              <w:rPr>
                <w:rFonts w:eastAsia="仿宋" w:cs="Times New Roman"/>
                <w:b/>
                <w:bCs/>
                <w:color w:val="000000"/>
                <w:kern w:val="0"/>
                <w:sz w:val="21"/>
                <w:szCs w:val="21"/>
              </w:rPr>
            </w:pPr>
            <w:r>
              <w:rPr>
                <w:rFonts w:eastAsia="仿宋" w:cs="Times New Roman"/>
                <w:b/>
                <w:bCs/>
                <w:color w:val="000000"/>
                <w:kern w:val="0"/>
                <w:sz w:val="21"/>
                <w:szCs w:val="21"/>
              </w:rPr>
              <w:t>55</w:t>
            </w:r>
          </w:p>
        </w:tc>
      </w:tr>
    </w:tbl>
    <w:p w14:paraId="7F10598A">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b/>
          <w:bCs/>
          <w:kern w:val="0"/>
          <w:szCs w:val="32"/>
        </w:rPr>
        <w:t>景区场景深度融合。</w:t>
      </w:r>
      <w:r>
        <w:rPr>
          <w:rFonts w:hint="eastAsia" w:eastAsia="方正仿宋_GB2312" w:cs="Times New Roman"/>
          <w:kern w:val="0"/>
          <w:szCs w:val="32"/>
        </w:rPr>
        <w:t>构建“景区入口主站+核心景点辅站+民宿集群补位”的景区充电网络，4A级及以上旅游景区、省级以上旅游度假区车位10％的比例配建充电设施或预留充电设施接口，其他旅游景区结合游客接待量和充电需求配建充电基础设施，解决游客集中充电需求。针对景区周边民宿集群，引导民宿业主安装共享充电桩，纳入区域智能充电平台统一管理。</w:t>
      </w:r>
    </w:p>
    <w:p w14:paraId="3147F21A">
      <w:pPr>
        <w:pStyle w:val="7"/>
        <w:pageBreakBefore w:val="0"/>
        <w:kinsoku/>
        <w:wordWrap/>
        <w:overflowPunct/>
        <w:topLinePunct w:val="0"/>
        <w:autoSpaceDE/>
        <w:autoSpaceDN/>
        <w:bidi w:val="0"/>
        <w:adjustRightInd/>
        <w:snapToGrid/>
        <w:spacing w:line="560" w:lineRule="exact"/>
        <w:jc w:val="center"/>
        <w:rPr>
          <w:rFonts w:ascii="Times New Roman" w:hAnsi="Times New Roman" w:cs="Times New Roman"/>
          <w:sz w:val="28"/>
          <w:szCs w:val="28"/>
        </w:rPr>
      </w:pPr>
      <w:r>
        <w:rPr>
          <w:rFonts w:ascii="Times New Roman" w:hAnsi="Times New Roman" w:cs="Times New Roman"/>
          <w:sz w:val="28"/>
          <w:szCs w:val="28"/>
        </w:rPr>
        <w:t>表</w:t>
      </w:r>
      <w:r>
        <w:rPr>
          <w:rFonts w:hint="eastAsia" w:ascii="Times New Roman" w:hAnsi="Times New Roman" w:cs="Times New Roman"/>
          <w:sz w:val="28"/>
          <w:szCs w:val="28"/>
        </w:rPr>
        <w:t>5 景区场景</w:t>
      </w:r>
      <w:r>
        <w:rPr>
          <w:rFonts w:ascii="Times New Roman" w:hAnsi="Times New Roman" w:cs="Times New Roman"/>
          <w:sz w:val="28"/>
          <w:szCs w:val="28"/>
        </w:rPr>
        <w:t>充电设施建设统计表</w:t>
      </w:r>
    </w:p>
    <w:tbl>
      <w:tblPr>
        <w:tblStyle w:val="12"/>
        <w:tblW w:w="5000" w:type="pct"/>
        <w:tblInd w:w="0" w:type="dxa"/>
        <w:tblLayout w:type="autofit"/>
        <w:tblCellMar>
          <w:top w:w="0" w:type="dxa"/>
          <w:left w:w="108" w:type="dxa"/>
          <w:bottom w:w="0" w:type="dxa"/>
          <w:right w:w="108" w:type="dxa"/>
        </w:tblCellMar>
      </w:tblPr>
      <w:tblGrid>
        <w:gridCol w:w="1676"/>
        <w:gridCol w:w="1933"/>
        <w:gridCol w:w="3512"/>
        <w:gridCol w:w="1939"/>
      </w:tblGrid>
      <w:tr w14:paraId="74AEEE82">
        <w:tblPrEx>
          <w:tblCellMar>
            <w:top w:w="0" w:type="dxa"/>
            <w:left w:w="108" w:type="dxa"/>
            <w:bottom w:w="0" w:type="dxa"/>
            <w:right w:w="108" w:type="dxa"/>
          </w:tblCellMar>
        </w:tblPrEx>
        <w:trPr>
          <w:trHeight w:val="1417" w:hRule="atLeast"/>
          <w:tblHeader/>
        </w:trPr>
        <w:tc>
          <w:tcPr>
            <w:tcW w:w="925" w:type="pct"/>
            <w:tcBorders>
              <w:top w:val="single" w:color="auto" w:sz="4" w:space="0"/>
              <w:left w:val="single" w:color="000000" w:sz="8" w:space="0"/>
              <w:bottom w:val="single" w:color="000000" w:sz="8" w:space="0"/>
              <w:right w:val="single" w:color="000000" w:sz="8" w:space="0"/>
            </w:tcBorders>
            <w:noWrap/>
            <w:vAlign w:val="center"/>
          </w:tcPr>
          <w:p w14:paraId="301FA9B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b/>
                <w:bCs/>
                <w:color w:val="000000"/>
                <w:kern w:val="0"/>
                <w:sz w:val="21"/>
                <w:szCs w:val="21"/>
              </w:rPr>
              <w:t>序号</w:t>
            </w:r>
          </w:p>
        </w:tc>
        <w:tc>
          <w:tcPr>
            <w:tcW w:w="1067" w:type="pct"/>
            <w:tcBorders>
              <w:top w:val="single" w:color="auto" w:sz="4" w:space="0"/>
              <w:left w:val="nil"/>
              <w:bottom w:val="single" w:color="000000" w:sz="8" w:space="0"/>
              <w:right w:val="single" w:color="000000" w:sz="8" w:space="0"/>
            </w:tcBorders>
            <w:noWrap/>
            <w:vAlign w:val="center"/>
          </w:tcPr>
          <w:p w14:paraId="49BF666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b/>
                <w:bCs/>
                <w:color w:val="000000"/>
                <w:kern w:val="0"/>
                <w:sz w:val="21"/>
                <w:szCs w:val="21"/>
              </w:rPr>
              <w:t>类型</w:t>
            </w:r>
          </w:p>
        </w:tc>
        <w:tc>
          <w:tcPr>
            <w:tcW w:w="1938" w:type="pct"/>
            <w:tcBorders>
              <w:top w:val="single" w:color="auto" w:sz="4" w:space="0"/>
              <w:left w:val="nil"/>
              <w:bottom w:val="single" w:color="000000" w:sz="8" w:space="0"/>
              <w:right w:val="single" w:color="000000" w:sz="8" w:space="0"/>
            </w:tcBorders>
            <w:noWrap/>
            <w:vAlign w:val="center"/>
          </w:tcPr>
          <w:p w14:paraId="4EC8D78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b/>
                <w:bCs/>
                <w:color w:val="000000"/>
                <w:kern w:val="0"/>
                <w:sz w:val="21"/>
                <w:szCs w:val="21"/>
              </w:rPr>
              <w:t>充电站名称</w:t>
            </w:r>
          </w:p>
        </w:tc>
        <w:tc>
          <w:tcPr>
            <w:tcW w:w="1070" w:type="pct"/>
            <w:tcBorders>
              <w:top w:val="single" w:color="auto" w:sz="4" w:space="0"/>
              <w:left w:val="nil"/>
              <w:bottom w:val="single" w:color="000000" w:sz="8" w:space="0"/>
              <w:right w:val="single" w:color="000000" w:sz="8" w:space="0"/>
            </w:tcBorders>
            <w:vAlign w:val="center"/>
          </w:tcPr>
          <w:p w14:paraId="0A01733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b/>
                <w:bCs/>
                <w:color w:val="000000"/>
                <w:kern w:val="0"/>
                <w:sz w:val="21"/>
                <w:szCs w:val="21"/>
              </w:rPr>
              <w:t>新增充电桩数量（台）</w:t>
            </w:r>
          </w:p>
        </w:tc>
      </w:tr>
      <w:tr w14:paraId="3D678A10">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7600DB06">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w:t>
            </w:r>
          </w:p>
        </w:tc>
        <w:tc>
          <w:tcPr>
            <w:tcW w:w="1067" w:type="pct"/>
            <w:tcBorders>
              <w:top w:val="nil"/>
              <w:left w:val="nil"/>
              <w:bottom w:val="single" w:color="000000" w:sz="8" w:space="0"/>
              <w:right w:val="single" w:color="000000" w:sz="8" w:space="0"/>
            </w:tcBorders>
            <w:noWrap/>
            <w:vAlign w:val="center"/>
          </w:tcPr>
          <w:p w14:paraId="19DF614E">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29A4A50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大武口区全民健身中心</w:t>
            </w:r>
          </w:p>
        </w:tc>
        <w:tc>
          <w:tcPr>
            <w:tcW w:w="1070" w:type="pct"/>
            <w:tcBorders>
              <w:top w:val="nil"/>
              <w:left w:val="nil"/>
              <w:bottom w:val="single" w:color="000000" w:sz="8" w:space="0"/>
              <w:right w:val="single" w:color="000000" w:sz="8" w:space="0"/>
            </w:tcBorders>
            <w:vAlign w:val="center"/>
          </w:tcPr>
          <w:p w14:paraId="2C5B15FE">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r>
      <w:tr w14:paraId="357F622A">
        <w:tblPrEx>
          <w:tblCellMar>
            <w:top w:w="0" w:type="dxa"/>
            <w:left w:w="108" w:type="dxa"/>
            <w:bottom w:w="0" w:type="dxa"/>
            <w:right w:w="108" w:type="dxa"/>
          </w:tblCellMar>
        </w:tblPrEx>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48286B04">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w:t>
            </w:r>
          </w:p>
        </w:tc>
        <w:tc>
          <w:tcPr>
            <w:tcW w:w="1067" w:type="pct"/>
            <w:tcBorders>
              <w:top w:val="nil"/>
              <w:left w:val="nil"/>
              <w:bottom w:val="single" w:color="000000" w:sz="8" w:space="0"/>
              <w:right w:val="single" w:color="000000" w:sz="8" w:space="0"/>
            </w:tcBorders>
            <w:noWrap/>
            <w:vAlign w:val="center"/>
          </w:tcPr>
          <w:p w14:paraId="519E652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449C385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大武口区文化艺术中心</w:t>
            </w:r>
          </w:p>
        </w:tc>
        <w:tc>
          <w:tcPr>
            <w:tcW w:w="1070" w:type="pct"/>
            <w:tcBorders>
              <w:top w:val="nil"/>
              <w:left w:val="nil"/>
              <w:bottom w:val="single" w:color="000000" w:sz="8" w:space="0"/>
              <w:right w:val="single" w:color="000000" w:sz="8" w:space="0"/>
            </w:tcBorders>
            <w:vAlign w:val="center"/>
          </w:tcPr>
          <w:p w14:paraId="3829C535">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r>
      <w:tr w14:paraId="6120B65F">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72E5ABEA">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3</w:t>
            </w:r>
          </w:p>
        </w:tc>
        <w:tc>
          <w:tcPr>
            <w:tcW w:w="1067" w:type="pct"/>
            <w:tcBorders>
              <w:top w:val="nil"/>
              <w:left w:val="nil"/>
              <w:bottom w:val="single" w:color="000000" w:sz="8" w:space="0"/>
              <w:right w:val="single" w:color="000000" w:sz="8" w:space="0"/>
            </w:tcBorders>
            <w:noWrap/>
            <w:vAlign w:val="center"/>
          </w:tcPr>
          <w:p w14:paraId="700114D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748A28A4">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龙泉村景区</w:t>
            </w:r>
          </w:p>
        </w:tc>
        <w:tc>
          <w:tcPr>
            <w:tcW w:w="1070" w:type="pct"/>
            <w:tcBorders>
              <w:top w:val="nil"/>
              <w:left w:val="nil"/>
              <w:bottom w:val="single" w:color="000000" w:sz="8" w:space="0"/>
              <w:right w:val="single" w:color="000000" w:sz="8" w:space="0"/>
            </w:tcBorders>
            <w:vAlign w:val="center"/>
          </w:tcPr>
          <w:p w14:paraId="73460AFE">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r>
      <w:tr w14:paraId="50053674">
        <w:tblPrEx>
          <w:tblCellMar>
            <w:top w:w="0" w:type="dxa"/>
            <w:left w:w="108" w:type="dxa"/>
            <w:bottom w:w="0" w:type="dxa"/>
            <w:right w:w="108" w:type="dxa"/>
          </w:tblCellMar>
        </w:tblPrEx>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3F013D58">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4</w:t>
            </w:r>
          </w:p>
        </w:tc>
        <w:tc>
          <w:tcPr>
            <w:tcW w:w="1067" w:type="pct"/>
            <w:tcBorders>
              <w:top w:val="nil"/>
              <w:left w:val="nil"/>
              <w:bottom w:val="single" w:color="000000" w:sz="8" w:space="0"/>
              <w:right w:val="single" w:color="000000" w:sz="8" w:space="0"/>
            </w:tcBorders>
            <w:noWrap/>
            <w:vAlign w:val="center"/>
          </w:tcPr>
          <w:p w14:paraId="2D9B22D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3394BC6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大武口工业遗址公园</w:t>
            </w:r>
          </w:p>
        </w:tc>
        <w:tc>
          <w:tcPr>
            <w:tcW w:w="1070" w:type="pct"/>
            <w:tcBorders>
              <w:top w:val="nil"/>
              <w:left w:val="nil"/>
              <w:bottom w:val="single" w:color="000000" w:sz="8" w:space="0"/>
              <w:right w:val="single" w:color="000000" w:sz="8" w:space="0"/>
            </w:tcBorders>
            <w:vAlign w:val="center"/>
          </w:tcPr>
          <w:p w14:paraId="6C0D29B0">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r>
      <w:tr w14:paraId="685DD8D2">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7306E12C">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5</w:t>
            </w:r>
          </w:p>
        </w:tc>
        <w:tc>
          <w:tcPr>
            <w:tcW w:w="1067" w:type="pct"/>
            <w:tcBorders>
              <w:top w:val="nil"/>
              <w:left w:val="nil"/>
              <w:bottom w:val="single" w:color="000000" w:sz="8" w:space="0"/>
              <w:right w:val="single" w:color="000000" w:sz="8" w:space="0"/>
            </w:tcBorders>
            <w:noWrap/>
            <w:vAlign w:val="center"/>
          </w:tcPr>
          <w:p w14:paraId="69F9377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18D0B79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华夏奇石山旅游区</w:t>
            </w:r>
          </w:p>
        </w:tc>
        <w:tc>
          <w:tcPr>
            <w:tcW w:w="1070" w:type="pct"/>
            <w:tcBorders>
              <w:top w:val="nil"/>
              <w:left w:val="nil"/>
              <w:bottom w:val="single" w:color="000000" w:sz="8" w:space="0"/>
              <w:right w:val="single" w:color="000000" w:sz="8" w:space="0"/>
            </w:tcBorders>
            <w:vAlign w:val="center"/>
          </w:tcPr>
          <w:p w14:paraId="1A2068B6">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10</w:t>
            </w:r>
          </w:p>
        </w:tc>
      </w:tr>
      <w:tr w14:paraId="1DC21D7C">
        <w:tblPrEx>
          <w:tblCellMar>
            <w:top w:w="0" w:type="dxa"/>
            <w:left w:w="108" w:type="dxa"/>
            <w:bottom w:w="0" w:type="dxa"/>
            <w:right w:w="108" w:type="dxa"/>
          </w:tblCellMar>
        </w:tblPrEx>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7353CDCC">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6</w:t>
            </w:r>
          </w:p>
        </w:tc>
        <w:tc>
          <w:tcPr>
            <w:tcW w:w="1067" w:type="pct"/>
            <w:tcBorders>
              <w:top w:val="nil"/>
              <w:left w:val="nil"/>
              <w:bottom w:val="single" w:color="000000" w:sz="8" w:space="0"/>
              <w:right w:val="single" w:color="000000" w:sz="8" w:space="0"/>
            </w:tcBorders>
            <w:noWrap/>
            <w:vAlign w:val="center"/>
          </w:tcPr>
          <w:p w14:paraId="710AFF52">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4DF1E28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北武当旅游区</w:t>
            </w:r>
          </w:p>
        </w:tc>
        <w:tc>
          <w:tcPr>
            <w:tcW w:w="1070" w:type="pct"/>
            <w:tcBorders>
              <w:top w:val="nil"/>
              <w:left w:val="nil"/>
              <w:bottom w:val="single" w:color="000000" w:sz="8" w:space="0"/>
              <w:right w:val="single" w:color="000000" w:sz="8" w:space="0"/>
            </w:tcBorders>
            <w:vAlign w:val="center"/>
          </w:tcPr>
          <w:p w14:paraId="538B3020">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20</w:t>
            </w:r>
          </w:p>
        </w:tc>
      </w:tr>
      <w:tr w14:paraId="02700F09">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3AF1DA11">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7</w:t>
            </w:r>
          </w:p>
        </w:tc>
        <w:tc>
          <w:tcPr>
            <w:tcW w:w="1067" w:type="pct"/>
            <w:tcBorders>
              <w:top w:val="nil"/>
              <w:left w:val="nil"/>
              <w:bottom w:val="single" w:color="000000" w:sz="8" w:space="0"/>
              <w:right w:val="single" w:color="000000" w:sz="8" w:space="0"/>
            </w:tcBorders>
            <w:noWrap/>
            <w:vAlign w:val="center"/>
          </w:tcPr>
          <w:p w14:paraId="6B47849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31B7249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石炭井工业文旅影视小镇</w:t>
            </w:r>
          </w:p>
        </w:tc>
        <w:tc>
          <w:tcPr>
            <w:tcW w:w="1070" w:type="pct"/>
            <w:tcBorders>
              <w:top w:val="nil"/>
              <w:left w:val="nil"/>
              <w:bottom w:val="single" w:color="000000" w:sz="8" w:space="0"/>
              <w:right w:val="single" w:color="000000" w:sz="8" w:space="0"/>
            </w:tcBorders>
            <w:vAlign w:val="center"/>
          </w:tcPr>
          <w:p w14:paraId="5A04BA68">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23</w:t>
            </w:r>
          </w:p>
        </w:tc>
      </w:tr>
      <w:tr w14:paraId="3741FDF7">
        <w:tblPrEx>
          <w:tblCellMar>
            <w:top w:w="0" w:type="dxa"/>
            <w:left w:w="108" w:type="dxa"/>
            <w:bottom w:w="0" w:type="dxa"/>
            <w:right w:w="108" w:type="dxa"/>
          </w:tblCellMar>
        </w:tblPrEx>
        <w:trPr>
          <w:trHeight w:val="567" w:hRule="atLeast"/>
        </w:trPr>
        <w:tc>
          <w:tcPr>
            <w:tcW w:w="925" w:type="pct"/>
            <w:tcBorders>
              <w:top w:val="nil"/>
              <w:left w:val="single" w:color="000000" w:sz="8" w:space="0"/>
              <w:bottom w:val="single" w:color="000000" w:sz="8" w:space="0"/>
              <w:right w:val="single" w:color="000000" w:sz="8" w:space="0"/>
            </w:tcBorders>
            <w:noWrap/>
            <w:vAlign w:val="center"/>
          </w:tcPr>
          <w:p w14:paraId="1FFD8B49">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8</w:t>
            </w:r>
          </w:p>
        </w:tc>
        <w:tc>
          <w:tcPr>
            <w:tcW w:w="1067" w:type="pct"/>
            <w:tcBorders>
              <w:top w:val="nil"/>
              <w:left w:val="nil"/>
              <w:bottom w:val="single" w:color="000000" w:sz="8" w:space="0"/>
              <w:right w:val="single" w:color="000000" w:sz="8" w:space="0"/>
            </w:tcBorders>
            <w:noWrap/>
            <w:vAlign w:val="center"/>
          </w:tcPr>
          <w:p w14:paraId="5CD5402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文旅景区</w:t>
            </w:r>
          </w:p>
        </w:tc>
        <w:tc>
          <w:tcPr>
            <w:tcW w:w="1938" w:type="pct"/>
            <w:tcBorders>
              <w:top w:val="nil"/>
              <w:left w:val="nil"/>
              <w:bottom w:val="single" w:color="000000" w:sz="8" w:space="0"/>
              <w:right w:val="single" w:color="000000" w:sz="8" w:space="0"/>
            </w:tcBorders>
            <w:noWrap/>
            <w:vAlign w:val="center"/>
          </w:tcPr>
          <w:p w14:paraId="7C0AA70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大武口区硒有田园旅游区</w:t>
            </w:r>
          </w:p>
        </w:tc>
        <w:tc>
          <w:tcPr>
            <w:tcW w:w="1070" w:type="pct"/>
            <w:tcBorders>
              <w:top w:val="nil"/>
              <w:left w:val="nil"/>
              <w:bottom w:val="single" w:color="000000" w:sz="8" w:space="0"/>
              <w:right w:val="single" w:color="000000" w:sz="8" w:space="0"/>
            </w:tcBorders>
            <w:vAlign w:val="center"/>
          </w:tcPr>
          <w:p w14:paraId="3FB5A9DB">
            <w:pPr>
              <w:pageBreakBefore w:val="0"/>
              <w:widowControl/>
              <w:kinsoku/>
              <w:wordWrap/>
              <w:overflowPunct/>
              <w:topLinePunct w:val="0"/>
              <w:autoSpaceDE/>
              <w:autoSpaceDN/>
              <w:bidi w:val="0"/>
              <w:adjustRightInd/>
              <w:snapToGrid/>
              <w:spacing w:line="560" w:lineRule="exact"/>
              <w:jc w:val="center"/>
              <w:rPr>
                <w:rFonts w:eastAsia="仿宋" w:cs="Times New Roman"/>
                <w:color w:val="000000"/>
                <w:kern w:val="0"/>
                <w:sz w:val="21"/>
                <w:szCs w:val="21"/>
              </w:rPr>
            </w:pPr>
            <w:r>
              <w:rPr>
                <w:rFonts w:eastAsia="仿宋" w:cs="Times New Roman"/>
                <w:color w:val="000000"/>
                <w:kern w:val="0"/>
                <w:sz w:val="21"/>
                <w:szCs w:val="21"/>
              </w:rPr>
              <w:t>4</w:t>
            </w:r>
          </w:p>
        </w:tc>
      </w:tr>
      <w:tr w14:paraId="28042BCA">
        <w:trPr>
          <w:trHeight w:val="567" w:hRule="atLeast"/>
        </w:trPr>
        <w:tc>
          <w:tcPr>
            <w:tcW w:w="3930" w:type="pct"/>
            <w:gridSpan w:val="3"/>
            <w:tcBorders>
              <w:top w:val="single" w:color="000000" w:sz="8" w:space="0"/>
              <w:left w:val="single" w:color="000000" w:sz="8" w:space="0"/>
              <w:bottom w:val="single" w:color="000000" w:sz="8" w:space="0"/>
              <w:right w:val="single" w:color="000000" w:sz="8" w:space="0"/>
            </w:tcBorders>
            <w:noWrap/>
            <w:vAlign w:val="center"/>
          </w:tcPr>
          <w:p w14:paraId="79B8CA8A">
            <w:pPr>
              <w:pageBreakBefore w:val="0"/>
              <w:widowControl/>
              <w:kinsoku/>
              <w:wordWrap/>
              <w:overflowPunct/>
              <w:topLinePunct w:val="0"/>
              <w:autoSpaceDE/>
              <w:autoSpaceDN/>
              <w:bidi w:val="0"/>
              <w:adjustRightInd/>
              <w:snapToGrid/>
              <w:spacing w:line="560" w:lineRule="exact"/>
              <w:jc w:val="center"/>
              <w:rPr>
                <w:rFonts w:hint="eastAsia" w:ascii="仿宋" w:hAnsi="仿宋" w:eastAsia="仿宋"/>
                <w:b/>
                <w:bCs/>
                <w:color w:val="000000"/>
                <w:kern w:val="0"/>
                <w:sz w:val="21"/>
                <w:szCs w:val="21"/>
              </w:rPr>
            </w:pPr>
            <w:r>
              <w:rPr>
                <w:rFonts w:hint="eastAsia" w:ascii="仿宋" w:hAnsi="仿宋" w:eastAsia="仿宋"/>
                <w:b/>
                <w:bCs/>
                <w:color w:val="000000"/>
                <w:kern w:val="0"/>
                <w:sz w:val="21"/>
                <w:szCs w:val="21"/>
              </w:rPr>
              <w:t>小计</w:t>
            </w:r>
          </w:p>
        </w:tc>
        <w:tc>
          <w:tcPr>
            <w:tcW w:w="1070" w:type="pct"/>
            <w:tcBorders>
              <w:top w:val="nil"/>
              <w:left w:val="nil"/>
              <w:bottom w:val="single" w:color="000000" w:sz="8" w:space="0"/>
              <w:right w:val="single" w:color="000000" w:sz="8" w:space="0"/>
            </w:tcBorders>
            <w:noWrap/>
            <w:vAlign w:val="center"/>
          </w:tcPr>
          <w:p w14:paraId="413EF9DB">
            <w:pPr>
              <w:pageBreakBefore w:val="0"/>
              <w:kinsoku/>
              <w:wordWrap/>
              <w:overflowPunct/>
              <w:topLinePunct w:val="0"/>
              <w:autoSpaceDE/>
              <w:autoSpaceDN/>
              <w:bidi w:val="0"/>
              <w:adjustRightInd/>
              <w:snapToGrid/>
              <w:spacing w:line="560" w:lineRule="exact"/>
              <w:jc w:val="center"/>
              <w:rPr>
                <w:rFonts w:eastAsia="仿宋" w:cs="Times New Roman"/>
                <w:b/>
                <w:bCs/>
                <w:color w:val="000000"/>
                <w:sz w:val="21"/>
                <w:szCs w:val="21"/>
              </w:rPr>
            </w:pPr>
            <w:r>
              <w:rPr>
                <w:rFonts w:eastAsia="仿宋" w:cs="Times New Roman"/>
                <w:b/>
                <w:bCs/>
                <w:color w:val="000000"/>
                <w:sz w:val="21"/>
                <w:szCs w:val="21"/>
              </w:rPr>
              <w:t>81</w:t>
            </w:r>
          </w:p>
        </w:tc>
      </w:tr>
    </w:tbl>
    <w:p w14:paraId="13792253">
      <w:pPr>
        <w:pageBreakBefore w:val="0"/>
        <w:kinsoku/>
        <w:wordWrap/>
        <w:overflowPunct/>
        <w:topLinePunct w:val="0"/>
        <w:autoSpaceDE/>
        <w:autoSpaceDN/>
        <w:bidi w:val="0"/>
        <w:adjustRightInd/>
        <w:snapToGrid/>
        <w:spacing w:line="560" w:lineRule="exact"/>
        <w:rPr>
          <w:rFonts w:eastAsia="方正仿宋_GB2312" w:cs="Times New Roman"/>
          <w:kern w:val="0"/>
          <w:szCs w:val="32"/>
        </w:rPr>
      </w:pPr>
    </w:p>
    <w:p w14:paraId="4310A712">
      <w:pPr>
        <w:pageBreakBefore w:val="0"/>
        <w:kinsoku/>
        <w:wordWrap/>
        <w:overflowPunct/>
        <w:topLinePunct w:val="0"/>
        <w:autoSpaceDE/>
        <w:autoSpaceDN/>
        <w:bidi w:val="0"/>
        <w:adjustRightInd/>
        <w:snapToGrid/>
        <w:spacing w:line="560" w:lineRule="exact"/>
        <w:ind w:firstLine="632" w:firstLineChars="200"/>
        <w:rPr>
          <w:rFonts w:hint="eastAsia" w:eastAsia="方正仿宋_GB2312" w:cs="Times New Roman"/>
          <w:kern w:val="0"/>
          <w:szCs w:val="32"/>
        </w:rPr>
      </w:pPr>
      <w:r>
        <w:rPr>
          <w:rFonts w:eastAsia="方正仿宋_GB2312" w:cs="Times New Roman"/>
          <w:kern w:val="0"/>
          <w:szCs w:val="32"/>
        </w:rPr>
        <w:t>至2028年，在</w:t>
      </w:r>
      <w:r>
        <w:rPr>
          <w:rFonts w:hint="eastAsia" w:eastAsia="方正仿宋_GB2312" w:cs="Times New Roman"/>
          <w:kern w:val="0"/>
          <w:szCs w:val="32"/>
        </w:rPr>
        <w:t>枣香村、富民村等12个行政村配建公共充电桩55台，在北武当旅游区、华夏奇石山旅游区等旅游场所及周边</w:t>
      </w:r>
      <w:r>
        <w:rPr>
          <w:rFonts w:eastAsia="方正仿宋_GB2312" w:cs="Times New Roman"/>
          <w:kern w:val="0"/>
          <w:szCs w:val="32"/>
        </w:rPr>
        <w:t>区域配建公共充电桩</w:t>
      </w:r>
      <w:r>
        <w:rPr>
          <w:rFonts w:hint="eastAsia" w:eastAsia="方正仿宋_GB2312" w:cs="Times New Roman"/>
          <w:kern w:val="0"/>
          <w:szCs w:val="32"/>
        </w:rPr>
        <w:t>81</w:t>
      </w:r>
      <w:r>
        <w:rPr>
          <w:rFonts w:eastAsia="方正仿宋_GB2312" w:cs="Times New Roman"/>
          <w:kern w:val="0"/>
          <w:szCs w:val="32"/>
        </w:rPr>
        <w:t>台</w:t>
      </w:r>
      <w:r>
        <w:rPr>
          <w:rFonts w:hint="eastAsia" w:eastAsia="方正仿宋_GB2312" w:cs="Times New Roman"/>
          <w:kern w:val="0"/>
          <w:szCs w:val="32"/>
        </w:rPr>
        <w:t>。</w:t>
      </w:r>
    </w:p>
    <w:p w14:paraId="1CF3A586">
      <w:pPr>
        <w:pStyle w:val="2"/>
        <w:rPr>
          <w:rFonts w:hint="eastAsia" w:eastAsia="方正仿宋_GB2312" w:cs="Times New Roman"/>
          <w:kern w:val="0"/>
          <w:szCs w:val="32"/>
        </w:rPr>
      </w:pPr>
    </w:p>
    <w:p w14:paraId="3B1AE54B">
      <w:pPr>
        <w:rPr>
          <w:rFonts w:hint="eastAsia" w:eastAsia="方正仿宋_GB2312" w:cs="Times New Roman"/>
          <w:kern w:val="0"/>
          <w:szCs w:val="32"/>
        </w:rPr>
      </w:pPr>
    </w:p>
    <w:p w14:paraId="068E1159">
      <w:pPr>
        <w:pStyle w:val="2"/>
        <w:rPr>
          <w:rFonts w:hint="eastAsia" w:eastAsia="方正仿宋_GB2312" w:cs="Times New Roman"/>
          <w:kern w:val="0"/>
          <w:szCs w:val="32"/>
        </w:rPr>
      </w:pPr>
      <w:r>
        <w:rPr>
          <w:rFonts w:hint="eastAsia" w:eastAsia="方正仿宋_GB2312" w:cs="Times New Roman"/>
          <w:b/>
          <w:bCs/>
          <w:kern w:val="0"/>
          <w:sz w:val="28"/>
          <w:szCs w:val="28"/>
        </w:rPr>
        <w:drawing>
          <wp:anchor distT="0" distB="0" distL="0" distR="0" simplePos="0" relativeHeight="251661312" behindDoc="0" locked="0" layoutInCell="1" allowOverlap="1">
            <wp:simplePos x="0" y="0"/>
            <wp:positionH relativeFrom="column">
              <wp:posOffset>15875</wp:posOffset>
            </wp:positionH>
            <wp:positionV relativeFrom="paragraph">
              <wp:posOffset>-264160</wp:posOffset>
            </wp:positionV>
            <wp:extent cx="5584190" cy="6269990"/>
            <wp:effectExtent l="0" t="0" r="0" b="0"/>
            <wp:wrapNone/>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0567" cy="6276956"/>
                    </a:xfrm>
                    <a:prstGeom prst="rect">
                      <a:avLst/>
                    </a:prstGeom>
                  </pic:spPr>
                </pic:pic>
              </a:graphicData>
            </a:graphic>
          </wp:anchor>
        </w:drawing>
      </w:r>
    </w:p>
    <w:p w14:paraId="296DC81D">
      <w:pPr>
        <w:rPr>
          <w:rFonts w:hint="eastAsia" w:eastAsia="方正仿宋_GB2312" w:cs="Times New Roman"/>
          <w:kern w:val="0"/>
          <w:szCs w:val="32"/>
        </w:rPr>
      </w:pPr>
    </w:p>
    <w:p w14:paraId="708FF2BD">
      <w:pPr>
        <w:pStyle w:val="2"/>
        <w:rPr>
          <w:rFonts w:hint="eastAsia" w:eastAsia="方正仿宋_GB2312" w:cs="Times New Roman"/>
          <w:kern w:val="0"/>
          <w:szCs w:val="32"/>
        </w:rPr>
      </w:pPr>
    </w:p>
    <w:p w14:paraId="00FED042">
      <w:pPr>
        <w:rPr>
          <w:rFonts w:hint="eastAsia" w:eastAsia="方正仿宋_GB2312" w:cs="Times New Roman"/>
          <w:kern w:val="0"/>
          <w:szCs w:val="32"/>
        </w:rPr>
      </w:pPr>
    </w:p>
    <w:p w14:paraId="6813F31F">
      <w:pPr>
        <w:pStyle w:val="2"/>
        <w:rPr>
          <w:rFonts w:hint="eastAsia" w:eastAsia="方正仿宋_GB2312" w:cs="Times New Roman"/>
          <w:kern w:val="0"/>
          <w:szCs w:val="32"/>
        </w:rPr>
      </w:pPr>
    </w:p>
    <w:p w14:paraId="2E5BB1EE">
      <w:pPr>
        <w:rPr>
          <w:rFonts w:hint="eastAsia" w:eastAsia="方正仿宋_GB2312" w:cs="Times New Roman"/>
          <w:kern w:val="0"/>
          <w:szCs w:val="32"/>
        </w:rPr>
      </w:pPr>
    </w:p>
    <w:p w14:paraId="7A7819BC">
      <w:pPr>
        <w:pStyle w:val="2"/>
      </w:pPr>
    </w:p>
    <w:p w14:paraId="09278E1E"/>
    <w:p w14:paraId="297AEFB6">
      <w:pPr>
        <w:pStyle w:val="2"/>
      </w:pPr>
    </w:p>
    <w:p w14:paraId="4E9B9880"/>
    <w:p w14:paraId="6DDF499B">
      <w:pPr>
        <w:pStyle w:val="2"/>
      </w:pPr>
    </w:p>
    <w:p w14:paraId="70E62A57">
      <w:pPr>
        <w:pageBreakBefore w:val="0"/>
        <w:kinsoku/>
        <w:wordWrap/>
        <w:overflowPunct/>
        <w:topLinePunct w:val="0"/>
        <w:autoSpaceDE/>
        <w:autoSpaceDN/>
        <w:bidi w:val="0"/>
        <w:adjustRightInd/>
        <w:snapToGrid/>
        <w:spacing w:line="560" w:lineRule="exact"/>
        <w:jc w:val="center"/>
        <w:rPr>
          <w:rFonts w:eastAsia="方正仿宋_GB2312" w:cs="Times New Roman"/>
          <w:b/>
          <w:bCs/>
          <w:kern w:val="0"/>
          <w:sz w:val="28"/>
          <w:szCs w:val="28"/>
        </w:rPr>
      </w:pPr>
    </w:p>
    <w:p w14:paraId="48F32C6A">
      <w:pPr>
        <w:pageBreakBefore w:val="0"/>
        <w:kinsoku/>
        <w:wordWrap/>
        <w:overflowPunct/>
        <w:topLinePunct w:val="0"/>
        <w:autoSpaceDE/>
        <w:autoSpaceDN/>
        <w:bidi w:val="0"/>
        <w:adjustRightInd/>
        <w:snapToGrid/>
        <w:spacing w:line="560" w:lineRule="exact"/>
        <w:jc w:val="center"/>
        <w:rPr>
          <w:rFonts w:eastAsia="黑体" w:cs="Times New Roman"/>
          <w:sz w:val="28"/>
          <w:szCs w:val="28"/>
        </w:rPr>
      </w:pPr>
      <w:r>
        <w:rPr>
          <w:rFonts w:hint="eastAsia" w:eastAsia="黑体" w:cs="Times New Roman"/>
          <w:sz w:val="28"/>
          <w:szCs w:val="28"/>
        </w:rPr>
        <w:t>图3 乡村与景区充电设施位置示意图</w:t>
      </w:r>
    </w:p>
    <w:p w14:paraId="4501B769">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p>
    <w:p w14:paraId="33FBAC0F">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4.推进专用充电设施建设</w:t>
      </w:r>
    </w:p>
    <w:p w14:paraId="59049536">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依托110国道、301省道等重要物流通道与核心物流园区，构建“集中快充场站+分散补能点+专用重卡区”的充电网络，适配新能源重卡、配送车、叉车等多元车型需求。在国省干道、物流园出入口建设集中式快充场站，配备240kW以上超快充桩（30分钟充至80%，满足重卡日间高效补能）、180kW快充桩（服务配送车辆），配套防雨防晒充电棚、车辆调度屏及司机休息驿站。针对物流园夜间充电高峰特点，采用“园区自营+市场化运营”混合模式，划分内部专用区和外部开放区，联动园区物流调度系统实现错峰充电引导。电力部门优先保障物流园电网增容需求，为集中场站配套建设专用变压器，确保大功率设备稳定运行。</w:t>
      </w:r>
    </w:p>
    <w:p w14:paraId="54CD05E1">
      <w:pPr>
        <w:pStyle w:val="7"/>
        <w:pageBreakBefore w:val="0"/>
        <w:kinsoku/>
        <w:wordWrap/>
        <w:overflowPunct/>
        <w:topLinePunct w:val="0"/>
        <w:autoSpaceDE/>
        <w:autoSpaceDN/>
        <w:bidi w:val="0"/>
        <w:adjustRightInd/>
        <w:snapToGrid/>
        <w:spacing w:line="560" w:lineRule="exact"/>
        <w:jc w:val="center"/>
        <w:rPr>
          <w:rFonts w:ascii="Times New Roman" w:hAnsi="Times New Roman" w:cs="Times New Roman"/>
          <w:sz w:val="28"/>
          <w:szCs w:val="28"/>
        </w:rPr>
      </w:pPr>
      <w:bookmarkStart w:id="19" w:name="_Toc23816"/>
      <w:r>
        <w:rPr>
          <w:rFonts w:hint="eastAsia" w:ascii="Times New Roman" w:hAnsi="Times New Roman" w:cs="Times New Roman"/>
          <w:sz w:val="28"/>
          <w:szCs w:val="28"/>
        </w:rPr>
        <w:t>表6 物流节点充电设施建设统计表</w:t>
      </w:r>
    </w:p>
    <w:tbl>
      <w:tblPr>
        <w:tblStyle w:val="12"/>
        <w:tblW w:w="5000" w:type="pct"/>
        <w:tblInd w:w="0" w:type="dxa"/>
        <w:tblLayout w:type="fixed"/>
        <w:tblCellMar>
          <w:top w:w="0" w:type="dxa"/>
          <w:left w:w="108" w:type="dxa"/>
          <w:bottom w:w="0" w:type="dxa"/>
          <w:right w:w="108" w:type="dxa"/>
        </w:tblCellMar>
      </w:tblPr>
      <w:tblGrid>
        <w:gridCol w:w="865"/>
        <w:gridCol w:w="1163"/>
        <w:gridCol w:w="7032"/>
      </w:tblGrid>
      <w:tr w14:paraId="7D6B6E4E">
        <w:tblPrEx>
          <w:tblCellMar>
            <w:top w:w="0" w:type="dxa"/>
            <w:left w:w="108" w:type="dxa"/>
            <w:bottom w:w="0" w:type="dxa"/>
            <w:right w:w="108" w:type="dxa"/>
          </w:tblCellMar>
        </w:tblPrEx>
        <w:trPr>
          <w:trHeight w:val="300" w:hRule="atLeast"/>
          <w:tblHeader/>
        </w:trPr>
        <w:tc>
          <w:tcPr>
            <w:tcW w:w="477" w:type="pct"/>
            <w:tcBorders>
              <w:top w:val="single" w:color="auto" w:sz="4" w:space="0"/>
              <w:left w:val="single" w:color="000000" w:sz="8" w:space="0"/>
              <w:bottom w:val="single" w:color="000000" w:sz="8" w:space="0"/>
              <w:right w:val="single" w:color="000000" w:sz="8" w:space="0"/>
            </w:tcBorders>
            <w:noWrap/>
            <w:vAlign w:val="center"/>
          </w:tcPr>
          <w:p w14:paraId="07D0359A">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ascii="方正仿宋_GB2312" w:hAnsi="方正仿宋_GB2312" w:eastAsia="方正仿宋_GB2312"/>
                <w:b/>
                <w:bCs/>
                <w:color w:val="000000"/>
                <w:kern w:val="0"/>
                <w:sz w:val="21"/>
                <w:szCs w:val="21"/>
              </w:rPr>
              <w:t>序号</w:t>
            </w:r>
          </w:p>
        </w:tc>
        <w:tc>
          <w:tcPr>
            <w:tcW w:w="642" w:type="pct"/>
            <w:tcBorders>
              <w:top w:val="single" w:color="auto" w:sz="4" w:space="0"/>
              <w:left w:val="nil"/>
              <w:bottom w:val="single" w:color="000000" w:sz="8" w:space="0"/>
              <w:right w:val="single" w:color="000000" w:sz="8" w:space="0"/>
            </w:tcBorders>
            <w:noWrap/>
            <w:vAlign w:val="center"/>
          </w:tcPr>
          <w:p w14:paraId="59A5026D">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b/>
                <w:bCs/>
                <w:color w:val="000000"/>
                <w:kern w:val="0"/>
                <w:sz w:val="21"/>
                <w:szCs w:val="21"/>
              </w:rPr>
              <w:t>类型</w:t>
            </w:r>
          </w:p>
        </w:tc>
        <w:tc>
          <w:tcPr>
            <w:tcW w:w="3881" w:type="pct"/>
            <w:tcBorders>
              <w:top w:val="single" w:color="auto" w:sz="4" w:space="0"/>
              <w:left w:val="nil"/>
              <w:bottom w:val="single" w:color="000000" w:sz="8" w:space="0"/>
              <w:right w:val="single" w:color="000000" w:sz="8" w:space="0"/>
            </w:tcBorders>
            <w:noWrap/>
            <w:vAlign w:val="center"/>
          </w:tcPr>
          <w:p w14:paraId="2A5AF34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b/>
                <w:bCs/>
                <w:color w:val="000000"/>
                <w:kern w:val="0"/>
                <w:sz w:val="21"/>
                <w:szCs w:val="21"/>
              </w:rPr>
              <w:t>充电站名称</w:t>
            </w:r>
          </w:p>
        </w:tc>
      </w:tr>
      <w:tr w14:paraId="3846169C">
        <w:tblPrEx>
          <w:tblCellMar>
            <w:top w:w="0" w:type="dxa"/>
            <w:left w:w="108" w:type="dxa"/>
            <w:bottom w:w="0" w:type="dxa"/>
            <w:right w:w="108" w:type="dxa"/>
          </w:tblCellMar>
        </w:tblPrEx>
        <w:trPr>
          <w:trHeight w:val="300" w:hRule="atLeast"/>
        </w:trPr>
        <w:tc>
          <w:tcPr>
            <w:tcW w:w="477" w:type="pct"/>
            <w:tcBorders>
              <w:top w:val="nil"/>
              <w:left w:val="single" w:color="000000" w:sz="8" w:space="0"/>
              <w:bottom w:val="single" w:color="000000" w:sz="8" w:space="0"/>
              <w:right w:val="single" w:color="000000" w:sz="8" w:space="0"/>
            </w:tcBorders>
            <w:noWrap/>
            <w:vAlign w:val="center"/>
          </w:tcPr>
          <w:p w14:paraId="142BC6A2">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1</w:t>
            </w:r>
          </w:p>
        </w:tc>
        <w:tc>
          <w:tcPr>
            <w:tcW w:w="642" w:type="pct"/>
            <w:tcBorders>
              <w:top w:val="nil"/>
              <w:left w:val="nil"/>
              <w:bottom w:val="single" w:color="000000" w:sz="8" w:space="0"/>
              <w:right w:val="single" w:color="000000" w:sz="8" w:space="0"/>
            </w:tcBorders>
            <w:noWrap/>
            <w:vAlign w:val="center"/>
          </w:tcPr>
          <w:p w14:paraId="6E6FEB8C">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物流节点</w:t>
            </w:r>
          </w:p>
        </w:tc>
        <w:tc>
          <w:tcPr>
            <w:tcW w:w="3881" w:type="pct"/>
            <w:tcBorders>
              <w:top w:val="nil"/>
              <w:left w:val="nil"/>
              <w:bottom w:val="single" w:color="000000" w:sz="8" w:space="0"/>
              <w:right w:val="single" w:color="000000" w:sz="8" w:space="0"/>
            </w:tcBorders>
            <w:noWrap/>
            <w:vAlign w:val="center"/>
          </w:tcPr>
          <w:p w14:paraId="56AC4AA0">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大武口区新能源重卡充换电站（沟口站）</w:t>
            </w:r>
          </w:p>
        </w:tc>
      </w:tr>
      <w:tr w14:paraId="1EF99D0F">
        <w:tblPrEx>
          <w:tblCellMar>
            <w:top w:w="0" w:type="dxa"/>
            <w:left w:w="108" w:type="dxa"/>
            <w:bottom w:w="0" w:type="dxa"/>
            <w:right w:w="108" w:type="dxa"/>
          </w:tblCellMar>
        </w:tblPrEx>
        <w:trPr>
          <w:trHeight w:val="300" w:hRule="atLeast"/>
        </w:trPr>
        <w:tc>
          <w:tcPr>
            <w:tcW w:w="477" w:type="pct"/>
            <w:tcBorders>
              <w:top w:val="nil"/>
              <w:left w:val="single" w:color="000000" w:sz="8" w:space="0"/>
              <w:bottom w:val="single" w:color="000000" w:sz="8" w:space="0"/>
              <w:right w:val="single" w:color="000000" w:sz="8" w:space="0"/>
            </w:tcBorders>
            <w:noWrap/>
            <w:vAlign w:val="center"/>
          </w:tcPr>
          <w:p w14:paraId="73DE36A3">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2</w:t>
            </w:r>
          </w:p>
        </w:tc>
        <w:tc>
          <w:tcPr>
            <w:tcW w:w="642" w:type="pct"/>
            <w:tcBorders>
              <w:top w:val="nil"/>
              <w:left w:val="nil"/>
              <w:bottom w:val="single" w:color="000000" w:sz="8" w:space="0"/>
              <w:right w:val="single" w:color="000000" w:sz="8" w:space="0"/>
            </w:tcBorders>
            <w:noWrap/>
            <w:vAlign w:val="center"/>
          </w:tcPr>
          <w:p w14:paraId="2EE2EE7F">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物流节点</w:t>
            </w:r>
          </w:p>
        </w:tc>
        <w:tc>
          <w:tcPr>
            <w:tcW w:w="3881" w:type="pct"/>
            <w:tcBorders>
              <w:top w:val="nil"/>
              <w:left w:val="nil"/>
              <w:bottom w:val="single" w:color="000000" w:sz="8" w:space="0"/>
              <w:right w:val="single" w:color="000000" w:sz="8" w:space="0"/>
            </w:tcBorders>
            <w:noWrap/>
            <w:vAlign w:val="center"/>
          </w:tcPr>
          <w:p w14:paraId="52E44B89">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大武口区新能源重卡充换电站（湘江站）</w:t>
            </w:r>
          </w:p>
        </w:tc>
      </w:tr>
      <w:tr w14:paraId="463CB17E">
        <w:tblPrEx>
          <w:tblCellMar>
            <w:top w:w="0" w:type="dxa"/>
            <w:left w:w="108" w:type="dxa"/>
            <w:bottom w:w="0" w:type="dxa"/>
            <w:right w:w="108" w:type="dxa"/>
          </w:tblCellMar>
        </w:tblPrEx>
        <w:trPr>
          <w:trHeight w:val="300" w:hRule="atLeast"/>
        </w:trPr>
        <w:tc>
          <w:tcPr>
            <w:tcW w:w="477" w:type="pct"/>
            <w:tcBorders>
              <w:top w:val="nil"/>
              <w:left w:val="single" w:color="000000" w:sz="8" w:space="0"/>
              <w:bottom w:val="single" w:color="auto" w:sz="4" w:space="0"/>
              <w:right w:val="single" w:color="000000" w:sz="8" w:space="0"/>
            </w:tcBorders>
            <w:noWrap/>
            <w:vAlign w:val="center"/>
          </w:tcPr>
          <w:p w14:paraId="690B05E3">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3</w:t>
            </w:r>
          </w:p>
        </w:tc>
        <w:tc>
          <w:tcPr>
            <w:tcW w:w="642" w:type="pct"/>
            <w:tcBorders>
              <w:top w:val="nil"/>
              <w:left w:val="nil"/>
              <w:bottom w:val="single" w:color="auto" w:sz="4" w:space="0"/>
              <w:right w:val="single" w:color="000000" w:sz="8" w:space="0"/>
            </w:tcBorders>
            <w:noWrap/>
            <w:vAlign w:val="center"/>
          </w:tcPr>
          <w:p w14:paraId="66EDD391">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物流节点</w:t>
            </w:r>
          </w:p>
        </w:tc>
        <w:tc>
          <w:tcPr>
            <w:tcW w:w="3881" w:type="pct"/>
            <w:tcBorders>
              <w:top w:val="nil"/>
              <w:left w:val="nil"/>
              <w:bottom w:val="single" w:color="auto" w:sz="4" w:space="0"/>
              <w:right w:val="single" w:color="000000" w:sz="8" w:space="0"/>
            </w:tcBorders>
            <w:noWrap/>
            <w:vAlign w:val="center"/>
          </w:tcPr>
          <w:p w14:paraId="4CDA566A">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大武口区新能源重卡充换电站（大荣站）</w:t>
            </w:r>
          </w:p>
        </w:tc>
      </w:tr>
      <w:tr w14:paraId="705B4CB5">
        <w:tblPrEx>
          <w:tblCellMar>
            <w:top w:w="0" w:type="dxa"/>
            <w:left w:w="108" w:type="dxa"/>
            <w:bottom w:w="0" w:type="dxa"/>
            <w:right w:w="108" w:type="dxa"/>
          </w:tblCellMar>
        </w:tblPrEx>
        <w:trPr>
          <w:trHeight w:val="300" w:hRule="atLeast"/>
        </w:trPr>
        <w:tc>
          <w:tcPr>
            <w:tcW w:w="477" w:type="pct"/>
            <w:tcBorders>
              <w:top w:val="single" w:color="auto" w:sz="4" w:space="0"/>
              <w:left w:val="single" w:color="000000" w:sz="8" w:space="0"/>
              <w:bottom w:val="single" w:color="000000" w:sz="8" w:space="0"/>
              <w:right w:val="single" w:color="000000" w:sz="8" w:space="0"/>
            </w:tcBorders>
            <w:noWrap/>
            <w:vAlign w:val="center"/>
          </w:tcPr>
          <w:p w14:paraId="2171F97B">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4</w:t>
            </w:r>
          </w:p>
        </w:tc>
        <w:tc>
          <w:tcPr>
            <w:tcW w:w="642" w:type="pct"/>
            <w:tcBorders>
              <w:top w:val="single" w:color="auto" w:sz="4" w:space="0"/>
              <w:left w:val="nil"/>
              <w:bottom w:val="single" w:color="000000" w:sz="8" w:space="0"/>
              <w:right w:val="single" w:color="000000" w:sz="8" w:space="0"/>
            </w:tcBorders>
            <w:noWrap/>
            <w:vAlign w:val="center"/>
          </w:tcPr>
          <w:p w14:paraId="2C7C9AD5">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物流节点</w:t>
            </w:r>
          </w:p>
        </w:tc>
        <w:tc>
          <w:tcPr>
            <w:tcW w:w="3881" w:type="pct"/>
            <w:tcBorders>
              <w:top w:val="single" w:color="auto" w:sz="4" w:space="0"/>
              <w:left w:val="nil"/>
              <w:bottom w:val="single" w:color="000000" w:sz="8" w:space="0"/>
              <w:right w:val="single" w:color="000000" w:sz="8" w:space="0"/>
            </w:tcBorders>
            <w:noWrap/>
            <w:vAlign w:val="center"/>
          </w:tcPr>
          <w:p w14:paraId="434CAB3B">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大武口区新能源重卡充换电站（西环路站）</w:t>
            </w:r>
          </w:p>
        </w:tc>
      </w:tr>
      <w:tr w14:paraId="1748D62C">
        <w:tblPrEx>
          <w:tblCellMar>
            <w:top w:w="0" w:type="dxa"/>
            <w:left w:w="108" w:type="dxa"/>
            <w:bottom w:w="0" w:type="dxa"/>
            <w:right w:w="108" w:type="dxa"/>
          </w:tblCellMar>
        </w:tblPrEx>
        <w:trPr>
          <w:trHeight w:val="300" w:hRule="atLeast"/>
        </w:trPr>
        <w:tc>
          <w:tcPr>
            <w:tcW w:w="477" w:type="pct"/>
            <w:tcBorders>
              <w:top w:val="nil"/>
              <w:left w:val="single" w:color="000000" w:sz="8" w:space="0"/>
              <w:bottom w:val="single" w:color="auto" w:sz="4" w:space="0"/>
              <w:right w:val="single" w:color="000000" w:sz="8" w:space="0"/>
            </w:tcBorders>
            <w:noWrap/>
            <w:vAlign w:val="center"/>
          </w:tcPr>
          <w:p w14:paraId="799AA433">
            <w:pPr>
              <w:pageBreakBefore w:val="0"/>
              <w:widowControl/>
              <w:kinsoku/>
              <w:wordWrap/>
              <w:overflowPunct/>
              <w:topLinePunct w:val="0"/>
              <w:autoSpaceDE/>
              <w:autoSpaceDN/>
              <w:bidi w:val="0"/>
              <w:adjustRightInd/>
              <w:snapToGrid/>
              <w:spacing w:line="560" w:lineRule="exact"/>
              <w:jc w:val="center"/>
              <w:rPr>
                <w:rFonts w:eastAsia="方正仿宋_GB2312" w:cs="Times New Roman"/>
                <w:color w:val="000000"/>
                <w:kern w:val="0"/>
                <w:sz w:val="21"/>
                <w:szCs w:val="21"/>
              </w:rPr>
            </w:pPr>
            <w:r>
              <w:rPr>
                <w:rFonts w:hint="eastAsia" w:eastAsia="方正仿宋_GB2312" w:cs="Times New Roman"/>
                <w:color w:val="000000"/>
                <w:kern w:val="0"/>
                <w:sz w:val="21"/>
                <w:szCs w:val="21"/>
              </w:rPr>
              <w:t>5</w:t>
            </w:r>
          </w:p>
        </w:tc>
        <w:tc>
          <w:tcPr>
            <w:tcW w:w="642" w:type="pct"/>
            <w:tcBorders>
              <w:top w:val="nil"/>
              <w:left w:val="nil"/>
              <w:bottom w:val="single" w:color="auto" w:sz="4" w:space="0"/>
              <w:right w:val="single" w:color="000000" w:sz="8" w:space="0"/>
            </w:tcBorders>
            <w:noWrap/>
            <w:vAlign w:val="center"/>
          </w:tcPr>
          <w:p w14:paraId="3C9A40D3">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物流节点</w:t>
            </w:r>
          </w:p>
        </w:tc>
        <w:tc>
          <w:tcPr>
            <w:tcW w:w="3881" w:type="pct"/>
            <w:tcBorders>
              <w:top w:val="nil"/>
              <w:left w:val="nil"/>
              <w:bottom w:val="single" w:color="auto" w:sz="4" w:space="0"/>
              <w:right w:val="single" w:color="000000" w:sz="8" w:space="0"/>
            </w:tcBorders>
            <w:noWrap/>
            <w:vAlign w:val="center"/>
          </w:tcPr>
          <w:p w14:paraId="04B5A1B8">
            <w:pPr>
              <w:pageBreakBefore w:val="0"/>
              <w:widowControl/>
              <w:kinsoku/>
              <w:wordWrap/>
              <w:overflowPunct/>
              <w:topLinePunct w:val="0"/>
              <w:autoSpaceDE/>
              <w:autoSpaceDN/>
              <w:bidi w:val="0"/>
              <w:adjustRightInd/>
              <w:snapToGrid/>
              <w:spacing w:line="560" w:lineRule="exact"/>
              <w:jc w:val="center"/>
              <w:rPr>
                <w:rFonts w:hint="eastAsia" w:ascii="方正仿宋_GB2312" w:hAnsi="方正仿宋_GB2312" w:eastAsia="方正仿宋_GB2312"/>
                <w:color w:val="000000"/>
                <w:kern w:val="0"/>
                <w:sz w:val="21"/>
                <w:szCs w:val="21"/>
              </w:rPr>
            </w:pPr>
            <w:r>
              <w:rPr>
                <w:rFonts w:hint="eastAsia" w:ascii="方正仿宋_GB2312" w:hAnsi="方正仿宋_GB2312" w:eastAsia="方正仿宋_GB2312"/>
                <w:color w:val="000000"/>
                <w:kern w:val="0"/>
                <w:sz w:val="21"/>
                <w:szCs w:val="21"/>
              </w:rPr>
              <w:t>石嘴山市大武口长胜煤炭加工区姚汝路以东、大汝公路以南、长胜路以西、空地以北</w:t>
            </w:r>
          </w:p>
        </w:tc>
      </w:tr>
    </w:tbl>
    <w:p w14:paraId="7705C13A">
      <w:pPr>
        <w:pageBreakBefore w:val="0"/>
        <w:kinsoku/>
        <w:wordWrap/>
        <w:overflowPunct/>
        <w:topLinePunct w:val="0"/>
        <w:autoSpaceDE/>
        <w:autoSpaceDN/>
        <w:bidi w:val="0"/>
        <w:adjustRightInd/>
        <w:snapToGrid/>
        <w:spacing w:line="560" w:lineRule="exact"/>
        <w:jc w:val="center"/>
      </w:pPr>
    </w:p>
    <w:p w14:paraId="3912489C">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6454F532">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1256617B">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6988084E">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537D2C5C">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06E5D704">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r>
        <w:drawing>
          <wp:anchor distT="0" distB="0" distL="0" distR="0" simplePos="0" relativeHeight="251662336" behindDoc="0" locked="0" layoutInCell="1" allowOverlap="1">
            <wp:simplePos x="0" y="0"/>
            <wp:positionH relativeFrom="column">
              <wp:posOffset>95250</wp:posOffset>
            </wp:positionH>
            <wp:positionV relativeFrom="paragraph">
              <wp:posOffset>50800</wp:posOffset>
            </wp:positionV>
            <wp:extent cx="5403215" cy="6234430"/>
            <wp:effectExtent l="0" t="0" r="6985" b="0"/>
            <wp:wrapNone/>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4786" cy="6248246"/>
                    </a:xfrm>
                    <a:prstGeom prst="rect">
                      <a:avLst/>
                    </a:prstGeom>
                  </pic:spPr>
                </pic:pic>
              </a:graphicData>
            </a:graphic>
          </wp:anchor>
        </w:drawing>
      </w:r>
    </w:p>
    <w:p w14:paraId="2D1854E0">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45E8B24D">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14FE5214">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422DC0DE">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6E8C4F45">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3F0D01B5">
      <w:pPr>
        <w:pStyle w:val="2"/>
        <w:rPr>
          <w:rFonts w:hint="eastAsia" w:eastAsia="黑体" w:cs="Times New Roman"/>
          <w:sz w:val="28"/>
          <w:szCs w:val="28"/>
        </w:rPr>
      </w:pPr>
    </w:p>
    <w:p w14:paraId="6A39796A">
      <w:pPr>
        <w:rPr>
          <w:rFonts w:hint="eastAsia" w:eastAsia="黑体" w:cs="Times New Roman"/>
          <w:sz w:val="28"/>
          <w:szCs w:val="28"/>
        </w:rPr>
      </w:pPr>
    </w:p>
    <w:p w14:paraId="2B9C8979">
      <w:pPr>
        <w:pStyle w:val="2"/>
        <w:rPr>
          <w:rFonts w:hint="eastAsia" w:eastAsia="黑体" w:cs="Times New Roman"/>
          <w:sz w:val="28"/>
          <w:szCs w:val="28"/>
        </w:rPr>
      </w:pPr>
    </w:p>
    <w:p w14:paraId="0AF0D66B">
      <w:pPr>
        <w:rPr>
          <w:rFonts w:hint="eastAsia" w:eastAsia="黑体" w:cs="Times New Roman"/>
          <w:sz w:val="28"/>
          <w:szCs w:val="28"/>
        </w:rPr>
      </w:pPr>
    </w:p>
    <w:p w14:paraId="0891CF63">
      <w:pPr>
        <w:pStyle w:val="2"/>
        <w:rPr>
          <w:rFonts w:hint="eastAsia" w:eastAsia="黑体" w:cs="Times New Roman"/>
          <w:sz w:val="28"/>
          <w:szCs w:val="28"/>
        </w:rPr>
      </w:pPr>
    </w:p>
    <w:p w14:paraId="5BD49CF3">
      <w:pPr>
        <w:rPr>
          <w:rFonts w:hint="eastAsia" w:eastAsia="黑体" w:cs="Times New Roman"/>
          <w:sz w:val="28"/>
          <w:szCs w:val="28"/>
        </w:rPr>
      </w:pPr>
    </w:p>
    <w:p w14:paraId="3F1A21DD">
      <w:pPr>
        <w:pStyle w:val="2"/>
        <w:rPr>
          <w:rFonts w:hint="eastAsia"/>
        </w:rPr>
      </w:pPr>
    </w:p>
    <w:p w14:paraId="64C869BF">
      <w:pPr>
        <w:pageBreakBefore w:val="0"/>
        <w:kinsoku/>
        <w:wordWrap/>
        <w:overflowPunct/>
        <w:topLinePunct w:val="0"/>
        <w:autoSpaceDE/>
        <w:autoSpaceDN/>
        <w:bidi w:val="0"/>
        <w:adjustRightInd/>
        <w:snapToGrid/>
        <w:spacing w:line="560" w:lineRule="exact"/>
        <w:jc w:val="center"/>
        <w:rPr>
          <w:rFonts w:hint="eastAsia" w:eastAsia="黑体" w:cs="Times New Roman"/>
          <w:sz w:val="28"/>
          <w:szCs w:val="28"/>
        </w:rPr>
      </w:pPr>
    </w:p>
    <w:p w14:paraId="32D2C907">
      <w:pPr>
        <w:pageBreakBefore w:val="0"/>
        <w:kinsoku/>
        <w:wordWrap/>
        <w:overflowPunct/>
        <w:topLinePunct w:val="0"/>
        <w:autoSpaceDE/>
        <w:autoSpaceDN/>
        <w:bidi w:val="0"/>
        <w:adjustRightInd/>
        <w:snapToGrid/>
        <w:spacing w:line="560" w:lineRule="exact"/>
        <w:jc w:val="center"/>
        <w:rPr>
          <w:rFonts w:eastAsia="黑体" w:cs="Times New Roman"/>
          <w:sz w:val="28"/>
          <w:szCs w:val="28"/>
        </w:rPr>
      </w:pPr>
      <w:r>
        <w:rPr>
          <w:rFonts w:hint="eastAsia" w:eastAsia="黑体" w:cs="Times New Roman"/>
          <w:sz w:val="28"/>
          <w:szCs w:val="28"/>
        </w:rPr>
        <w:t>图4 新能源物流充电设施位置示意图</w:t>
      </w:r>
    </w:p>
    <w:p w14:paraId="54E031F2">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p>
    <w:p w14:paraId="5B76EE3A">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r>
        <w:rPr>
          <w:rFonts w:ascii="方正楷体简体" w:hAnsi="方正楷体简体" w:eastAsia="方正楷体简体"/>
          <w:sz w:val="32"/>
          <w:szCs w:val="32"/>
        </w:rPr>
        <w:t>（二）</w:t>
      </w:r>
      <w:bookmarkEnd w:id="19"/>
      <w:r>
        <w:rPr>
          <w:rFonts w:ascii="方正楷体简体" w:hAnsi="方正楷体简体" w:eastAsia="方正楷体简体"/>
          <w:sz w:val="32"/>
          <w:szCs w:val="32"/>
        </w:rPr>
        <w:t>强化智能赋能，提升运营效率</w:t>
      </w:r>
    </w:p>
    <w:p w14:paraId="7C9E1B5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1.</w:t>
      </w:r>
      <w:r>
        <w:rPr>
          <w:rFonts w:eastAsia="方正仿宋_GB2312" w:cs="Times New Roman"/>
          <w:b/>
          <w:bCs/>
          <w:kern w:val="0"/>
          <w:szCs w:val="32"/>
        </w:rPr>
        <w:t>构建统一智能平台</w:t>
      </w:r>
    </w:p>
    <w:p w14:paraId="588C6EAA">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推动辖区内充电运营商全部接入自治区充电设施公共服务管理平台，实现数据</w:t>
      </w:r>
      <w:r>
        <w:rPr>
          <w:rFonts w:hint="eastAsia" w:eastAsia="方正仿宋_GB2312" w:cs="Times New Roman"/>
          <w:kern w:val="0"/>
          <w:szCs w:val="32"/>
        </w:rPr>
        <w:t>“</w:t>
      </w:r>
      <w:r>
        <w:rPr>
          <w:rFonts w:eastAsia="方正仿宋_GB2312" w:cs="Times New Roman"/>
          <w:kern w:val="0"/>
          <w:szCs w:val="32"/>
        </w:rPr>
        <w:t>一网汇聚</w:t>
      </w:r>
      <w:r>
        <w:rPr>
          <w:rFonts w:hint="eastAsia" w:eastAsia="方正仿宋_GB2312" w:cs="Times New Roman"/>
          <w:kern w:val="0"/>
          <w:szCs w:val="32"/>
        </w:rPr>
        <w:t>”</w:t>
      </w:r>
      <w:r>
        <w:rPr>
          <w:rFonts w:eastAsia="方正仿宋_GB2312" w:cs="Times New Roman"/>
          <w:kern w:val="0"/>
          <w:szCs w:val="32"/>
        </w:rPr>
        <w:t>。开发大武口区充电服务子平台，整合找桩导航、状态查询、在线支付、故障报修、投诉建议等功能，</w:t>
      </w:r>
      <w:r>
        <w:rPr>
          <w:rFonts w:hint="eastAsia" w:eastAsia="方正仿宋_GB2312" w:cs="Times New Roman"/>
          <w:kern w:val="0"/>
          <w:szCs w:val="32"/>
        </w:rPr>
        <w:t>支持“快应用”、“小程序”等便捷服务，实现“扫码即充”，提升用户体验</w:t>
      </w:r>
      <w:r>
        <w:rPr>
          <w:rFonts w:eastAsia="方正仿宋_GB2312" w:cs="Times New Roman"/>
          <w:kern w:val="0"/>
          <w:szCs w:val="32"/>
        </w:rPr>
        <w:t>。建立平台数据分析机制，实时监测设施利用率、故障发生率等指标，为布局优化和运营调度提供数据支撑。</w:t>
      </w:r>
    </w:p>
    <w:p w14:paraId="1E7E4C4C">
      <w:pPr>
        <w:pageBreakBefore w:val="0"/>
        <w:tabs>
          <w:tab w:val="left" w:pos="312"/>
        </w:tabs>
        <w:kinsoku/>
        <w:wordWrap/>
        <w:overflowPunct/>
        <w:topLinePunct w:val="0"/>
        <w:autoSpaceDE/>
        <w:autoSpaceDN/>
        <w:bidi w:val="0"/>
        <w:adjustRightInd/>
        <w:snapToGrid/>
        <w:spacing w:line="560" w:lineRule="exact"/>
        <w:ind w:left="634"/>
        <w:rPr>
          <w:rFonts w:eastAsia="方正仿宋_GB2312" w:cs="Times New Roman"/>
          <w:b/>
          <w:bCs/>
          <w:kern w:val="0"/>
          <w:szCs w:val="32"/>
        </w:rPr>
      </w:pPr>
      <w:r>
        <w:rPr>
          <w:rFonts w:hint="eastAsia" w:eastAsia="方正仿宋_GB2312" w:cs="Times New Roman"/>
          <w:b/>
          <w:bCs/>
          <w:kern w:val="0"/>
          <w:szCs w:val="32"/>
        </w:rPr>
        <w:t>2.</w:t>
      </w:r>
      <w:r>
        <w:rPr>
          <w:rFonts w:eastAsia="方正仿宋_GB2312" w:cs="Times New Roman"/>
          <w:b/>
          <w:bCs/>
          <w:kern w:val="0"/>
          <w:szCs w:val="32"/>
        </w:rPr>
        <w:t>推动设施智能升级</w:t>
      </w:r>
    </w:p>
    <w:p w14:paraId="6F86CD61">
      <w:pPr>
        <w:pageBreakBefore w:val="0"/>
        <w:kinsoku/>
        <w:wordWrap/>
        <w:overflowPunct/>
        <w:topLinePunct w:val="0"/>
        <w:autoSpaceDE/>
        <w:autoSpaceDN/>
        <w:bidi w:val="0"/>
        <w:adjustRightInd/>
        <w:snapToGrid/>
        <w:spacing w:line="560" w:lineRule="exact"/>
        <w:ind w:firstLine="632" w:firstLineChars="200"/>
        <w:rPr>
          <w:rFonts w:hint="eastAsia" w:eastAsia="黑体" w:cs="Times New Roman"/>
          <w:sz w:val="28"/>
          <w:szCs w:val="28"/>
        </w:rPr>
      </w:pPr>
      <w:r>
        <w:rPr>
          <w:rFonts w:hint="eastAsia" w:eastAsia="方正仿宋_GB2312" w:cs="Times New Roman"/>
          <w:kern w:val="0"/>
          <w:szCs w:val="32"/>
        </w:rPr>
        <w:t>因地制宜建设“光储充放”多功能综合一体站，降低用电成本，提高能源转换率，</w:t>
      </w:r>
      <w:r>
        <w:rPr>
          <w:rFonts w:hint="eastAsia" w:eastAsia="方正仿宋_GB2312" w:cs="Times New Roman"/>
          <w:kern w:val="0"/>
          <w:szCs w:val="32"/>
          <w:lang w:eastAsia="zh-CN"/>
        </w:rPr>
        <w:t>结合裸露土地治理工作，</w:t>
      </w:r>
      <w:r>
        <w:rPr>
          <w:rFonts w:hint="eastAsia" w:eastAsia="方正仿宋_GB2312" w:cs="Times New Roman"/>
          <w:kern w:val="0"/>
          <w:szCs w:val="32"/>
        </w:rPr>
        <w:t>新建</w:t>
      </w:r>
      <w:r>
        <w:rPr>
          <w:rFonts w:hint="eastAsia" w:eastAsia="方正仿宋_GB2312" w:cs="Times New Roman"/>
          <w:kern w:val="0"/>
          <w:szCs w:val="32"/>
          <w:lang w:eastAsia="zh-CN"/>
        </w:rPr>
        <w:t>一批</w:t>
      </w:r>
      <w:r>
        <w:rPr>
          <w:rFonts w:hint="eastAsia" w:eastAsia="方正仿宋_GB2312" w:cs="Times New Roman"/>
          <w:kern w:val="0"/>
          <w:szCs w:val="32"/>
        </w:rPr>
        <w:t>光储充示范应用点。</w:t>
      </w:r>
      <w:r>
        <w:rPr>
          <w:rFonts w:eastAsia="方正仿宋_GB2312" w:cs="Times New Roman"/>
          <w:kern w:val="0"/>
          <w:szCs w:val="32"/>
        </w:rPr>
        <w:t>鼓励运营商对现有老旧设施进行智能化改造，加装远程监控、智能诊断、有序充电等功能模块，实现故障自动报警、远程运维。新增充电设施优先选用超充技术和车网互动（V2G）技术，缩短充电时长，提升电网调峰能力。在居民小区推广智能有序充电模式，结合安全接入功率标准，避免用电高峰负荷过载，保障用电安全。</w:t>
      </w:r>
    </w:p>
    <w:p w14:paraId="1B4C1CD7">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3.</w:t>
      </w:r>
      <w:r>
        <w:rPr>
          <w:rFonts w:eastAsia="方正仿宋_GB2312" w:cs="Times New Roman"/>
          <w:b/>
          <w:bCs/>
          <w:kern w:val="0"/>
          <w:szCs w:val="32"/>
        </w:rPr>
        <w:t>优化运营服务机制</w:t>
      </w:r>
    </w:p>
    <w:p w14:paraId="51FB260B">
      <w:pPr>
        <w:pageBreakBefore w:val="0"/>
        <w:kinsoku/>
        <w:wordWrap/>
        <w:overflowPunct/>
        <w:topLinePunct w:val="0"/>
        <w:autoSpaceDE/>
        <w:autoSpaceDN/>
        <w:bidi w:val="0"/>
        <w:adjustRightInd/>
        <w:snapToGrid/>
        <w:spacing w:line="560" w:lineRule="exact"/>
        <w:ind w:firstLine="632" w:firstLineChars="200"/>
        <w:rPr>
          <w:szCs w:val="32"/>
        </w:rPr>
      </w:pPr>
      <w:r>
        <w:rPr>
          <w:rFonts w:eastAsia="方正仿宋_GB2312" w:cs="Times New Roman"/>
          <w:kern w:val="0"/>
          <w:szCs w:val="32"/>
        </w:rPr>
        <w:t>建立运营商服务质量评价体系，从设施完好率、响应速度、收费标准、服务态度等方面进行考核，评价结果与补助资金发放挂钩。鼓励运营商推出充电套餐、积分兑换、夜间错峰优惠等服务，提升设施利用率。</w:t>
      </w:r>
      <w:r>
        <w:rPr>
          <w:rFonts w:hint="eastAsia" w:eastAsia="方正仿宋_GB2312" w:cs="Times New Roman"/>
          <w:kern w:val="0"/>
          <w:szCs w:val="32"/>
        </w:rPr>
        <w:t>督促充电设施运营单位完善充电站信息公示</w:t>
      </w:r>
      <w:r>
        <w:rPr>
          <w:rFonts w:eastAsia="方正仿宋_GB2312" w:cs="Times New Roman"/>
          <w:kern w:val="0"/>
          <w:szCs w:val="32"/>
        </w:rPr>
        <w:t>，确保充电故障2小时内响应、24小时内解决。</w:t>
      </w:r>
    </w:p>
    <w:p w14:paraId="2AEF47D8">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bookmarkStart w:id="20" w:name="_Toc22465"/>
      <w:r>
        <w:rPr>
          <w:rFonts w:ascii="方正楷体简体" w:hAnsi="方正楷体简体" w:eastAsia="方正楷体简体"/>
          <w:sz w:val="32"/>
          <w:szCs w:val="32"/>
        </w:rPr>
        <w:t>（三）健全安全体系，强化监管保障</w:t>
      </w:r>
    </w:p>
    <w:p w14:paraId="38A3E6C3">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1.</w:t>
      </w:r>
      <w:r>
        <w:rPr>
          <w:rFonts w:eastAsia="方正仿宋_GB2312" w:cs="Times New Roman"/>
          <w:b/>
          <w:bCs/>
          <w:kern w:val="0"/>
          <w:szCs w:val="32"/>
        </w:rPr>
        <w:t>规范建设管理流程</w:t>
      </w:r>
    </w:p>
    <w:p w14:paraId="02D890A6">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严格执行《电动汽车充电站设计规范》</w:t>
      </w:r>
      <w:r>
        <w:rPr>
          <w:rFonts w:hint="eastAsia" w:eastAsia="方正仿宋_GB2312" w:cs="Times New Roman"/>
          <w:kern w:val="0"/>
          <w:szCs w:val="32"/>
        </w:rPr>
        <w:t>（GB/T 50966-2024）、</w:t>
      </w:r>
      <w:r>
        <w:rPr>
          <w:rFonts w:eastAsia="方正仿宋_GB2312" w:cs="Times New Roman"/>
          <w:kern w:val="0"/>
          <w:szCs w:val="32"/>
        </w:rPr>
        <w:t>《电动汽车充换电设施工程施工和竣工验收规范》</w:t>
      </w:r>
      <w:r>
        <w:rPr>
          <w:rFonts w:hint="eastAsia" w:eastAsia="方正仿宋_GB2312" w:cs="Times New Roman"/>
          <w:kern w:val="0"/>
          <w:szCs w:val="32"/>
        </w:rPr>
        <w:t>（NB/T 33004-2020）</w:t>
      </w:r>
      <w:r>
        <w:rPr>
          <w:rFonts w:eastAsia="方正仿宋_GB2312" w:cs="Times New Roman"/>
          <w:kern w:val="0"/>
          <w:szCs w:val="32"/>
        </w:rPr>
        <w:t>等标准，所有充电设施必须具备产品合格证明和CCC认证。建立充电设施建设备案制度，施工前向发改部门备案，竣工后经</w:t>
      </w:r>
      <w:r>
        <w:rPr>
          <w:rFonts w:hint="eastAsia" w:eastAsia="方正仿宋_GB2312" w:cs="Times New Roman"/>
          <w:kern w:val="0"/>
          <w:szCs w:val="32"/>
        </w:rPr>
        <w:t>发改、住建交通、综合执法、市场监管、电网企业等多部门</w:t>
      </w:r>
      <w:r>
        <w:rPr>
          <w:rFonts w:eastAsia="方正仿宋_GB2312" w:cs="Times New Roman"/>
          <w:kern w:val="0"/>
          <w:szCs w:val="32"/>
        </w:rPr>
        <w:t>联合验收合格方可投运。强化电力配套保障，电网企业要提前规划充电设施配套电网建设，优先保障重点区域电力接入需求。</w:t>
      </w:r>
    </w:p>
    <w:p w14:paraId="4931E08F">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2.</w:t>
      </w:r>
      <w:r>
        <w:rPr>
          <w:rFonts w:eastAsia="方正仿宋_GB2312" w:cs="Times New Roman"/>
          <w:b/>
          <w:bCs/>
          <w:kern w:val="0"/>
          <w:szCs w:val="32"/>
        </w:rPr>
        <w:t>强化全流程安全监管</w:t>
      </w:r>
    </w:p>
    <w:p w14:paraId="1980A6E5">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建立发改、综合执法、市场监管、住建交通、消防、应急管理等多部门联合监管机制，强化与电网企业的协同配合。定期开展</w:t>
      </w:r>
      <w:r>
        <w:rPr>
          <w:rFonts w:eastAsia="方正仿宋_GB2312" w:cs="Times New Roman"/>
          <w:kern w:val="0"/>
          <w:szCs w:val="32"/>
        </w:rPr>
        <w:t>安全专项检查，重点排查设施老化、私拉乱接、消防隐患等问题，建立隐患台账，实行</w:t>
      </w:r>
      <w:r>
        <w:rPr>
          <w:rFonts w:hint="eastAsia" w:eastAsia="方正仿宋_GB2312" w:cs="Times New Roman"/>
          <w:kern w:val="0"/>
          <w:szCs w:val="32"/>
        </w:rPr>
        <w:t>“</w:t>
      </w:r>
      <w:r>
        <w:rPr>
          <w:rFonts w:eastAsia="方正仿宋_GB2312" w:cs="Times New Roman"/>
          <w:kern w:val="0"/>
          <w:szCs w:val="32"/>
        </w:rPr>
        <w:t>销号管理</w:t>
      </w:r>
      <w:r>
        <w:rPr>
          <w:rFonts w:hint="eastAsia" w:eastAsia="方正仿宋_GB2312" w:cs="Times New Roman"/>
          <w:kern w:val="0"/>
          <w:szCs w:val="32"/>
        </w:rPr>
        <w:t>”</w:t>
      </w:r>
      <w:r>
        <w:rPr>
          <w:rFonts w:eastAsia="方正仿宋_GB2312" w:cs="Times New Roman"/>
          <w:kern w:val="0"/>
          <w:szCs w:val="32"/>
        </w:rPr>
        <w:t>。督促运营商落实主体责任，定期开展设施维护、绝缘检测、应急演练等工作，建立运营日志和安全档案。</w:t>
      </w:r>
    </w:p>
    <w:p w14:paraId="778F5A9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3.</w:t>
      </w:r>
      <w:r>
        <w:rPr>
          <w:rFonts w:eastAsia="方正仿宋_GB2312" w:cs="Times New Roman"/>
          <w:b/>
          <w:bCs/>
          <w:kern w:val="0"/>
          <w:szCs w:val="32"/>
        </w:rPr>
        <w:t>完善应急处置机制</w:t>
      </w:r>
    </w:p>
    <w:p w14:paraId="5193EE15">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制定充电设施安全事故应急预案，明确应急响应流程、责任分工和处置措施。建立运营商与消防、电力等部门应急联动机制，定期开展联合应急演练，提升事故处置能力。加强安全宣传教育，通过社区公告、平台推送、现场讲解等方式，普及充电安全知识，提高用户安全意识。</w:t>
      </w:r>
    </w:p>
    <w:bookmarkEnd w:id="20"/>
    <w:p w14:paraId="33218C8C">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r>
        <w:rPr>
          <w:rFonts w:ascii="方正楷体简体" w:hAnsi="方正楷体简体" w:eastAsia="方正楷体简体"/>
          <w:sz w:val="32"/>
          <w:szCs w:val="32"/>
        </w:rPr>
        <w:t>（四）强化政策扶持，激发市场活力</w:t>
      </w:r>
    </w:p>
    <w:p w14:paraId="2919A66F">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1.优化要素保障服务</w:t>
      </w:r>
    </w:p>
    <w:p w14:paraId="5812C66A">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简化充电设施建设审批流程，对充电设施建设涉及的土地、规划、电力等要素，优先给予保障，鼓励利用裸露土地、闲置厂房、废弃场地等建设充电站。引导金融机构加大对充电设施项目的信贷支持，提供低息贷款、融资租赁等金融服务。</w:t>
      </w:r>
    </w:p>
    <w:p w14:paraId="6352C565">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b/>
          <w:bCs/>
          <w:kern w:val="0"/>
          <w:szCs w:val="32"/>
        </w:rPr>
      </w:pPr>
      <w:r>
        <w:rPr>
          <w:rFonts w:hint="eastAsia" w:eastAsia="方正仿宋_GB2312" w:cs="Times New Roman"/>
          <w:b/>
          <w:bCs/>
          <w:kern w:val="0"/>
          <w:szCs w:val="32"/>
        </w:rPr>
        <w:t>2.鼓励多元主体参与</w:t>
      </w:r>
    </w:p>
    <w:p w14:paraId="796B9B50">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鼓励区内外充电设施建设运营企业参与充电基础设施建设，通过合资合作、入股分红等方式参与本地市场。鼓励机关单位、园区企业、商业综合体等利用自有场地建设充电设施。</w:t>
      </w:r>
    </w:p>
    <w:p w14:paraId="30325449">
      <w:pPr>
        <w:pStyle w:val="3"/>
        <w:keepNext/>
        <w:keepLines/>
        <w:pageBreakBefore w:val="0"/>
        <w:kinsoku/>
        <w:wordWrap/>
        <w:overflowPunct/>
        <w:topLinePunct w:val="0"/>
        <w:autoSpaceDE/>
        <w:autoSpaceDN/>
        <w:bidi w:val="0"/>
        <w:adjustRightInd/>
        <w:snapToGrid/>
        <w:spacing w:before="100" w:beforeAutospacing="0" w:after="100" w:afterAutospacing="0" w:line="560" w:lineRule="exact"/>
        <w:ind w:firstLine="632" w:firstLineChars="200"/>
        <w:rPr>
          <w:rFonts w:hint="default" w:ascii="Times New Roman" w:hAnsi="Times New Roman" w:eastAsia="黑体"/>
          <w:b w:val="0"/>
          <w:bCs w:val="0"/>
          <w:sz w:val="32"/>
          <w:szCs w:val="32"/>
        </w:rPr>
      </w:pPr>
      <w:r>
        <w:rPr>
          <w:rFonts w:ascii="Times New Roman" w:hAnsi="Times New Roman" w:eastAsia="黑体"/>
          <w:b w:val="0"/>
          <w:bCs w:val="0"/>
          <w:sz w:val="32"/>
          <w:szCs w:val="32"/>
        </w:rPr>
        <w:t>三、保障措施</w:t>
      </w:r>
    </w:p>
    <w:p w14:paraId="15D830B1">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r>
        <w:rPr>
          <w:rFonts w:hint="default" w:ascii="方正楷体简体" w:hAnsi="方正楷体简体" w:eastAsia="方正楷体简体"/>
          <w:sz w:val="32"/>
          <w:szCs w:val="32"/>
        </w:rPr>
        <w:t>（一）加大协同力度</w:t>
      </w:r>
    </w:p>
    <w:p w14:paraId="21D0A44F">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建立发展改革、综合执法、市场监管、住建交通、自然资源、应急管理、消防救援、星海镇和各街道办事处等有关部门紧密配合的充电基础设施建设协同推进机制。大武口区</w:t>
      </w:r>
      <w:r>
        <w:rPr>
          <w:rFonts w:eastAsia="方正仿宋_GB2312" w:cs="Times New Roman"/>
          <w:kern w:val="0"/>
          <w:szCs w:val="32"/>
        </w:rPr>
        <w:t>发展</w:t>
      </w:r>
      <w:r>
        <w:rPr>
          <w:rFonts w:hint="eastAsia" w:eastAsia="方正仿宋_GB2312" w:cs="Times New Roman"/>
          <w:kern w:val="0"/>
          <w:szCs w:val="32"/>
        </w:rPr>
        <w:t>和</w:t>
      </w:r>
      <w:r>
        <w:rPr>
          <w:rFonts w:eastAsia="方正仿宋_GB2312" w:cs="Times New Roman"/>
          <w:kern w:val="0"/>
          <w:szCs w:val="32"/>
        </w:rPr>
        <w:t>改革</w:t>
      </w:r>
      <w:r>
        <w:rPr>
          <w:rFonts w:hint="eastAsia" w:eastAsia="方正仿宋_GB2312" w:cs="Times New Roman"/>
          <w:kern w:val="0"/>
          <w:szCs w:val="32"/>
        </w:rPr>
        <w:t>局</w:t>
      </w:r>
      <w:r>
        <w:rPr>
          <w:rFonts w:eastAsia="方正仿宋_GB2312" w:cs="Times New Roman"/>
          <w:kern w:val="0"/>
          <w:szCs w:val="32"/>
        </w:rPr>
        <w:t>会同各有关单位统筹推进充电基础设施建设，加强部门协同配合，强化对各地的指导监督，确保安全有序运行。</w:t>
      </w:r>
    </w:p>
    <w:p w14:paraId="5C3C3267">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r>
        <w:rPr>
          <w:rFonts w:hint="default" w:ascii="方正楷体简体" w:hAnsi="方正楷体简体" w:eastAsia="方正楷体简体"/>
          <w:sz w:val="32"/>
          <w:szCs w:val="32"/>
        </w:rPr>
        <w:t>（二）明确责任分工</w:t>
      </w:r>
    </w:p>
    <w:p w14:paraId="0C66931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hint="eastAsia" w:eastAsia="方正仿宋_GB2312" w:cs="Times New Roman"/>
          <w:kern w:val="0"/>
          <w:szCs w:val="32"/>
        </w:rPr>
        <w:t>根据《自治区发展改革委关于印发〈关于进一步提升自治区充电基础设施服务保障能力的实施方案〉的通知》（宁发改规发〔2023〕8号）和《区人民政府办公室关于明确有关新业态新风险和职能交叉领域安全监管部门的通知》（石大政办发〔2025〕30号）等文件精神，各有关部门要加大协调推进力度，认真制定工作计划，坚持目标导向，强化责任落实。</w:t>
      </w:r>
      <w:r>
        <w:rPr>
          <w:rFonts w:hint="eastAsia" w:eastAsia="方正仿宋_GB2312" w:cs="Times New Roman"/>
          <w:b/>
          <w:bCs/>
          <w:kern w:val="0"/>
          <w:szCs w:val="32"/>
        </w:rPr>
        <w:t>发展改革部门</w:t>
      </w:r>
      <w:r>
        <w:rPr>
          <w:rFonts w:hint="eastAsia" w:eastAsia="方正仿宋_GB2312" w:cs="Times New Roman"/>
          <w:kern w:val="0"/>
          <w:szCs w:val="32"/>
        </w:rPr>
        <w:t>负责制定充换电设施发展规划，督促相关建设运营单位加强安全管理、优化充电运营服务，负责指导协调充电基础设施安全生产检查工作。</w:t>
      </w:r>
      <w:r>
        <w:rPr>
          <w:rFonts w:hint="eastAsia" w:eastAsia="方正仿宋_GB2312" w:cs="Times New Roman"/>
          <w:b/>
          <w:bCs/>
          <w:kern w:val="0"/>
          <w:szCs w:val="32"/>
        </w:rPr>
        <w:t>综合执法部门</w:t>
      </w:r>
      <w:r>
        <w:rPr>
          <w:rFonts w:hint="eastAsia" w:eastAsia="方正仿宋_GB2312" w:cs="Times New Roman"/>
          <w:kern w:val="0"/>
          <w:szCs w:val="32"/>
        </w:rPr>
        <w:t>负责督促物业服务企业协助建设运营企业开展住宅区充换电设施安全隐患检查。</w:t>
      </w:r>
      <w:r>
        <w:rPr>
          <w:rFonts w:hint="eastAsia" w:eastAsia="方正仿宋_GB2312" w:cs="Times New Roman"/>
          <w:b/>
          <w:bCs/>
          <w:kern w:val="0"/>
          <w:szCs w:val="32"/>
        </w:rPr>
        <w:t>市场监管部门</w:t>
      </w:r>
      <w:r>
        <w:rPr>
          <w:rFonts w:hint="eastAsia" w:eastAsia="方正仿宋_GB2312" w:cs="Times New Roman"/>
          <w:kern w:val="0"/>
          <w:szCs w:val="32"/>
        </w:rPr>
        <w:t>负责生产和销售环节的产品质量安全监督管理，确保相关建设运营单位明码标价、价费合理。</w:t>
      </w:r>
      <w:r>
        <w:rPr>
          <w:rFonts w:hint="eastAsia" w:eastAsia="方正仿宋_GB2312" w:cs="Times New Roman"/>
          <w:b/>
          <w:bCs/>
          <w:kern w:val="0"/>
          <w:szCs w:val="32"/>
        </w:rPr>
        <w:t>住建交通部门</w:t>
      </w:r>
      <w:r>
        <w:rPr>
          <w:rFonts w:hint="eastAsia" w:eastAsia="方正仿宋_GB2312" w:cs="Times New Roman"/>
          <w:kern w:val="0"/>
          <w:szCs w:val="32"/>
        </w:rPr>
        <w:t>负责落实新建住房小区配套充电设施相关要求及充换电设施建设环节的安全监管和工程消防验收。</w:t>
      </w:r>
      <w:r>
        <w:rPr>
          <w:rFonts w:hint="eastAsia" w:eastAsia="方正仿宋_GB2312" w:cs="Times New Roman"/>
          <w:b/>
          <w:bCs/>
          <w:kern w:val="0"/>
          <w:szCs w:val="32"/>
        </w:rPr>
        <w:t>自然资源部门</w:t>
      </w:r>
      <w:r>
        <w:rPr>
          <w:rFonts w:hint="eastAsia" w:eastAsia="方正仿宋_GB2312" w:cs="Times New Roman"/>
          <w:kern w:val="0"/>
          <w:szCs w:val="32"/>
        </w:rPr>
        <w:t>负责指导充电设施建设与国土空间规划衔接,负责充换电设施用地协调、保障，提高用地审批效率。</w:t>
      </w:r>
      <w:r>
        <w:rPr>
          <w:rFonts w:hint="eastAsia" w:eastAsia="方正仿宋_GB2312" w:cs="Times New Roman"/>
          <w:b/>
          <w:bCs/>
          <w:kern w:val="0"/>
          <w:szCs w:val="32"/>
        </w:rPr>
        <w:t>应急管理部门</w:t>
      </w:r>
      <w:r>
        <w:rPr>
          <w:rFonts w:hint="eastAsia" w:eastAsia="方正仿宋_GB2312" w:cs="Times New Roman"/>
          <w:kern w:val="0"/>
          <w:szCs w:val="32"/>
        </w:rPr>
        <w:t>负责协调行业主管部门做好应急预案衔接，依据相关法律法规指导各部门应对相关安全生产类突发事件。</w:t>
      </w:r>
      <w:r>
        <w:rPr>
          <w:rFonts w:hint="eastAsia" w:eastAsia="方正仿宋_GB2312" w:cs="Times New Roman"/>
          <w:b/>
          <w:bCs/>
          <w:kern w:val="0"/>
          <w:szCs w:val="32"/>
        </w:rPr>
        <w:t>商务部门</w:t>
      </w:r>
      <w:r>
        <w:rPr>
          <w:rFonts w:hint="eastAsia" w:eastAsia="方正仿宋_GB2312" w:cs="Times New Roman"/>
          <w:kern w:val="0"/>
          <w:szCs w:val="32"/>
        </w:rPr>
        <w:t>负责按照职责指导督促商场、超市公共停车场等商业中心做好充换电设施安全生产工作。</w:t>
      </w:r>
      <w:r>
        <w:rPr>
          <w:rFonts w:hint="eastAsia" w:eastAsia="方正仿宋_GB2312" w:cs="Times New Roman"/>
          <w:b/>
          <w:bCs/>
          <w:kern w:val="0"/>
          <w:szCs w:val="32"/>
        </w:rPr>
        <w:t>文化体育旅游部门</w:t>
      </w:r>
      <w:r>
        <w:rPr>
          <w:rFonts w:hint="eastAsia" w:eastAsia="方正仿宋_GB2312" w:cs="Times New Roman"/>
          <w:kern w:val="0"/>
          <w:szCs w:val="32"/>
        </w:rPr>
        <w:t>负责景区、旅游度假区等文化体育旅游场所充电基础设施建设的协调工作及安全生产监管工作。</w:t>
      </w:r>
      <w:r>
        <w:rPr>
          <w:rFonts w:hint="eastAsia" w:eastAsia="方正仿宋_GB2312" w:cs="Times New Roman"/>
          <w:b/>
          <w:bCs/>
          <w:kern w:val="0"/>
          <w:szCs w:val="32"/>
        </w:rPr>
        <w:t>消防部门</w:t>
      </w:r>
      <w:r>
        <w:rPr>
          <w:rFonts w:hint="eastAsia" w:eastAsia="方正仿宋_GB2312" w:cs="Times New Roman"/>
          <w:kern w:val="0"/>
          <w:szCs w:val="32"/>
        </w:rPr>
        <w:t>负责对建设运营企业遵守消防法律法规和国家消防技术标准的情况依法进行监督检查，开展火灾扑救、调查火灾原因等工作。</w:t>
      </w:r>
      <w:r>
        <w:rPr>
          <w:rFonts w:hint="eastAsia" w:eastAsia="方正仿宋_GB2312" w:cs="Times New Roman"/>
          <w:b/>
          <w:bCs/>
          <w:kern w:val="0"/>
          <w:szCs w:val="32"/>
        </w:rPr>
        <w:t>星海镇和各街道办事处</w:t>
      </w:r>
      <w:r>
        <w:rPr>
          <w:rFonts w:hint="eastAsia" w:eastAsia="方正仿宋_GB2312" w:cs="Times New Roman"/>
          <w:kern w:val="0"/>
          <w:szCs w:val="32"/>
        </w:rPr>
        <w:t>负责履行属地管理责任，做好选址、建设用地保障,协调推进项目建设,并负责日常巡查及安全隐患的发现与上报工作。</w:t>
      </w:r>
      <w:r>
        <w:rPr>
          <w:rFonts w:hint="eastAsia" w:eastAsia="方正仿宋_GB2312" w:cs="Times New Roman"/>
          <w:b/>
          <w:bCs/>
          <w:kern w:val="0"/>
          <w:szCs w:val="32"/>
        </w:rPr>
        <w:t>电网企业</w:t>
      </w:r>
      <w:r>
        <w:rPr>
          <w:rFonts w:hint="eastAsia" w:eastAsia="方正仿宋_GB2312" w:cs="Times New Roman"/>
          <w:kern w:val="0"/>
          <w:szCs w:val="32"/>
        </w:rPr>
        <w:t>负责充换电设施产权分界点及以上配套供电设施建设、运维安全管理。</w:t>
      </w:r>
      <w:r>
        <w:rPr>
          <w:rFonts w:hint="eastAsia" w:eastAsia="方正仿宋_GB2312" w:cs="Times New Roman"/>
          <w:b/>
          <w:bCs/>
          <w:kern w:val="0"/>
          <w:szCs w:val="32"/>
        </w:rPr>
        <w:t>生产、建设运营单位</w:t>
      </w:r>
      <w:r>
        <w:rPr>
          <w:rFonts w:hint="eastAsia" w:eastAsia="方正仿宋_GB2312" w:cs="Times New Roman"/>
          <w:kern w:val="0"/>
          <w:szCs w:val="32"/>
        </w:rPr>
        <w:t>应落实安全生产主体责任，严格按照国家及行业标准开展充换电设施的设计、安装、建设、竣工验收和运营。</w:t>
      </w:r>
    </w:p>
    <w:p w14:paraId="562625AF">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r>
        <w:rPr>
          <w:rFonts w:ascii="方正楷体简体" w:hAnsi="方正楷体简体" w:eastAsia="方正楷体简体"/>
          <w:sz w:val="32"/>
          <w:szCs w:val="32"/>
        </w:rPr>
        <w:t>（三）</w:t>
      </w:r>
      <w:r>
        <w:rPr>
          <w:rFonts w:hint="default" w:ascii="方正楷体简体" w:hAnsi="方正楷体简体" w:eastAsia="方正楷体简体"/>
          <w:sz w:val="32"/>
          <w:szCs w:val="32"/>
        </w:rPr>
        <w:t>强化督导考核</w:t>
      </w:r>
    </w:p>
    <w:p w14:paraId="1080913B">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将充电基础设施建设工作纳入区政府年度重点民生实事和绩效考核体系，制定年度任务清单和考核细则，定期对各责任单位工作推进情况进行督导检查，确保各项目标任务按时保质完成。</w:t>
      </w:r>
    </w:p>
    <w:p w14:paraId="2F503211">
      <w:pPr>
        <w:pStyle w:val="4"/>
        <w:pageBreakBefore w:val="0"/>
        <w:widowControl/>
        <w:kinsoku/>
        <w:wordWrap/>
        <w:overflowPunct/>
        <w:topLinePunct w:val="0"/>
        <w:autoSpaceDE/>
        <w:autoSpaceDN/>
        <w:bidi w:val="0"/>
        <w:adjustRightInd/>
        <w:snapToGrid/>
        <w:spacing w:beforeAutospacing="0" w:afterAutospacing="0" w:line="560" w:lineRule="exact"/>
        <w:ind w:firstLine="632" w:firstLineChars="200"/>
        <w:rPr>
          <w:rFonts w:ascii="方正楷体简体" w:hAnsi="方正楷体简体" w:eastAsia="方正楷体简体"/>
          <w:sz w:val="32"/>
          <w:szCs w:val="32"/>
        </w:rPr>
      </w:pPr>
      <w:r>
        <w:rPr>
          <w:rFonts w:hint="default" w:ascii="方正楷体简体" w:hAnsi="方正楷体简体" w:eastAsia="方正楷体简体"/>
          <w:sz w:val="32"/>
          <w:szCs w:val="32"/>
        </w:rPr>
        <w:t>（四）加强宣传引导</w:t>
      </w:r>
    </w:p>
    <w:p w14:paraId="329D8168">
      <w:pPr>
        <w:pageBreakBefore w:val="0"/>
        <w:kinsoku/>
        <w:wordWrap/>
        <w:overflowPunct/>
        <w:topLinePunct w:val="0"/>
        <w:autoSpaceDE/>
        <w:autoSpaceDN/>
        <w:bidi w:val="0"/>
        <w:adjustRightInd/>
        <w:snapToGrid/>
        <w:spacing w:line="560" w:lineRule="exact"/>
        <w:ind w:firstLine="632" w:firstLineChars="200"/>
        <w:rPr>
          <w:rFonts w:eastAsia="方正仿宋_GB2312" w:cs="Times New Roman"/>
          <w:kern w:val="0"/>
          <w:szCs w:val="32"/>
        </w:rPr>
      </w:pPr>
      <w:r>
        <w:rPr>
          <w:rFonts w:eastAsia="方正仿宋_GB2312" w:cs="Times New Roman"/>
          <w:kern w:val="0"/>
          <w:szCs w:val="32"/>
        </w:rPr>
        <w:t>通过政府官网、微信公众号、本地媒体等平台，及时宣传充电基础设施建设政策、进展成效和便民信息。深入开展</w:t>
      </w:r>
      <w:r>
        <w:rPr>
          <w:rFonts w:hint="eastAsia" w:eastAsia="方正仿宋_GB2312" w:cs="Times New Roman"/>
          <w:kern w:val="0"/>
          <w:szCs w:val="32"/>
        </w:rPr>
        <w:t>“</w:t>
      </w:r>
      <w:r>
        <w:rPr>
          <w:rFonts w:eastAsia="方正仿宋_GB2312" w:cs="Times New Roman"/>
          <w:kern w:val="0"/>
          <w:szCs w:val="32"/>
        </w:rPr>
        <w:t>充电服务进社区、进园区、进乡村</w:t>
      </w:r>
      <w:r>
        <w:rPr>
          <w:rFonts w:hint="eastAsia" w:eastAsia="方正仿宋_GB2312" w:cs="Times New Roman"/>
          <w:kern w:val="0"/>
          <w:szCs w:val="32"/>
        </w:rPr>
        <w:t>”</w:t>
      </w:r>
      <w:r>
        <w:rPr>
          <w:rFonts w:eastAsia="方正仿宋_GB2312" w:cs="Times New Roman"/>
          <w:kern w:val="0"/>
          <w:szCs w:val="32"/>
        </w:rPr>
        <w:t>活动，通过现场咨询、体验活动等方式，提升群众对充电服务的认知度和满意度</w:t>
      </w:r>
      <w:r>
        <w:rPr>
          <w:rFonts w:hint="eastAsia" w:eastAsia="方正仿宋_GB2312" w:cs="Times New Roman"/>
          <w:kern w:val="0"/>
          <w:szCs w:val="32"/>
        </w:rPr>
        <w:t>，引导全体市民绿色出行</w:t>
      </w:r>
      <w:r>
        <w:rPr>
          <w:rFonts w:eastAsia="方正仿宋_GB2312" w:cs="Times New Roman"/>
          <w:kern w:val="0"/>
          <w:szCs w:val="32"/>
        </w:rPr>
        <w:t>。广泛宣传优秀运营商和典型案例，营造全社会支持参与充电基础设施建设的良好氛围。</w:t>
      </w:r>
    </w:p>
    <w:p w14:paraId="5F7A3458">
      <w:pPr>
        <w:pageBreakBefore w:val="0"/>
        <w:widowControl/>
        <w:kinsoku/>
        <w:wordWrap/>
        <w:overflowPunct/>
        <w:topLinePunct w:val="0"/>
        <w:autoSpaceDE/>
        <w:autoSpaceDN/>
        <w:bidi w:val="0"/>
        <w:adjustRightInd/>
        <w:snapToGrid/>
        <w:spacing w:line="560" w:lineRule="exact"/>
        <w:jc w:val="left"/>
        <w:rPr>
          <w:rFonts w:eastAsia="方正仿宋_GB2312" w:cs="Times New Roman"/>
          <w:kern w:val="0"/>
          <w:sz w:val="28"/>
          <w:szCs w:val="28"/>
        </w:rPr>
      </w:pPr>
      <w:r>
        <w:rPr>
          <w:rFonts w:eastAsia="方正仿宋_GB2312" w:cs="Times New Roman"/>
          <w:kern w:val="0"/>
          <w:sz w:val="28"/>
          <w:szCs w:val="28"/>
        </w:rPr>
        <w:br w:type="page"/>
      </w:r>
    </w:p>
    <w:p w14:paraId="6E36EB55">
      <w:pPr>
        <w:pageBreakBefore w:val="0"/>
        <w:kinsoku/>
        <w:wordWrap/>
        <w:overflowPunct/>
        <w:topLinePunct w:val="0"/>
        <w:autoSpaceDE/>
        <w:autoSpaceDN/>
        <w:bidi w:val="0"/>
        <w:adjustRightInd/>
        <w:snapToGrid/>
        <w:spacing w:line="560" w:lineRule="exact"/>
        <w:jc w:val="center"/>
        <w:rPr>
          <w:rFonts w:eastAsia="黑体" w:cs="Times New Roman"/>
          <w:kern w:val="44"/>
          <w:szCs w:val="32"/>
        </w:rPr>
      </w:pPr>
      <w:r>
        <w:rPr>
          <w:rFonts w:hint="eastAsia" w:eastAsia="黑体" w:cs="Times New Roman"/>
          <w:kern w:val="44"/>
          <w:szCs w:val="32"/>
        </w:rPr>
        <w:t>参考文件</w:t>
      </w:r>
    </w:p>
    <w:p w14:paraId="4BEF1423">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eastAsia="方正仿宋_GB2312" w:cs="Times New Roman"/>
          <w:kern w:val="0"/>
          <w:szCs w:val="32"/>
        </w:rPr>
        <w:t>《国家发展改革委等部门关于印发&lt;电动汽车充电设施服务能力</w:t>
      </w:r>
      <w:r>
        <w:rPr>
          <w:rFonts w:hint="eastAsia" w:eastAsia="方正仿宋_GB2312" w:cs="Times New Roman"/>
          <w:kern w:val="0"/>
          <w:szCs w:val="32"/>
        </w:rPr>
        <w:t>“</w:t>
      </w:r>
      <w:r>
        <w:rPr>
          <w:rFonts w:eastAsia="方正仿宋_GB2312" w:cs="Times New Roman"/>
          <w:kern w:val="0"/>
          <w:szCs w:val="32"/>
        </w:rPr>
        <w:t>三年倍增</w:t>
      </w:r>
      <w:r>
        <w:rPr>
          <w:rFonts w:hint="eastAsia" w:eastAsia="方正仿宋_GB2312" w:cs="Times New Roman"/>
          <w:kern w:val="0"/>
          <w:szCs w:val="32"/>
        </w:rPr>
        <w:t>”</w:t>
      </w:r>
      <w:r>
        <w:rPr>
          <w:rFonts w:eastAsia="方正仿宋_GB2312" w:cs="Times New Roman"/>
          <w:kern w:val="0"/>
          <w:szCs w:val="32"/>
        </w:rPr>
        <w:t>行动方案（2025-2027年）&gt;的通知》（发改能源规〔2025〕1250号）</w:t>
      </w:r>
      <w:r>
        <w:rPr>
          <w:rFonts w:hint="eastAsia" w:eastAsia="方正仿宋_GB2312" w:cs="Times New Roman"/>
          <w:kern w:val="0"/>
          <w:szCs w:val="32"/>
        </w:rPr>
        <w:t>；</w:t>
      </w:r>
    </w:p>
    <w:p w14:paraId="2DE47116">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hint="eastAsia" w:eastAsia="方正仿宋_GB2312" w:cs="Times New Roman"/>
          <w:kern w:val="0"/>
          <w:szCs w:val="32"/>
        </w:rPr>
        <w:t>《自治区发展改革委关于印发〈关于进一步提升自治区充电基础设施服务保障能力的实施方案〉的通知》（宁发改规发〔2023〕8号）；</w:t>
      </w:r>
    </w:p>
    <w:p w14:paraId="2FD321D3">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hint="eastAsia" w:eastAsia="方正仿宋_GB2312" w:cs="Times New Roman"/>
          <w:kern w:val="0"/>
          <w:szCs w:val="32"/>
        </w:rPr>
        <w:t>《自治区发展改革委关于印发〈自治区2025年度充电基础设施建设实施方案〉的通知》（宁发改规发〔2025〕1号）；</w:t>
      </w:r>
    </w:p>
    <w:p w14:paraId="51C56468">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hint="eastAsia" w:eastAsia="方正仿宋_GB2312" w:cs="Times New Roman"/>
          <w:kern w:val="0"/>
          <w:szCs w:val="32"/>
        </w:rPr>
        <w:t>《区人民政府办公室关于明确有关新业态新风险和职能交叉领域安全监管部门的通知》（石大政办发〔2025〕30号）；</w:t>
      </w:r>
    </w:p>
    <w:p w14:paraId="1CA9D1EF">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hint="eastAsia" w:eastAsia="方正仿宋_GB2312" w:cs="Times New Roman"/>
          <w:kern w:val="0"/>
          <w:szCs w:val="32"/>
        </w:rPr>
        <w:t>《电动汽车分散充电设施工程技术标准》（GB/T 51313-2018）；</w:t>
      </w:r>
    </w:p>
    <w:p w14:paraId="39E783BC">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hint="eastAsia" w:eastAsia="方正仿宋_GB2312" w:cs="Times New Roman"/>
          <w:kern w:val="0"/>
          <w:szCs w:val="32"/>
        </w:rPr>
        <w:t>《电动汽车充电站设计规范》（GB/T 50966-2024）；</w:t>
      </w:r>
    </w:p>
    <w:p w14:paraId="01B588D6">
      <w:pPr>
        <w:pStyle w:val="17"/>
        <w:pageBreakBefore w:val="0"/>
        <w:numPr>
          <w:ilvl w:val="0"/>
          <w:numId w:val="1"/>
        </w:numPr>
        <w:kinsoku/>
        <w:wordWrap/>
        <w:overflowPunct/>
        <w:topLinePunct w:val="0"/>
        <w:autoSpaceDE/>
        <w:autoSpaceDN/>
        <w:bidi w:val="0"/>
        <w:adjustRightInd/>
        <w:snapToGrid/>
        <w:spacing w:line="560" w:lineRule="exact"/>
        <w:rPr>
          <w:rFonts w:eastAsia="方正仿宋_GB2312" w:cs="Times New Roman"/>
          <w:kern w:val="0"/>
          <w:szCs w:val="32"/>
        </w:rPr>
      </w:pPr>
      <w:r>
        <w:rPr>
          <w:rFonts w:hint="eastAsia" w:eastAsia="方正仿宋_GB2312" w:cs="Times New Roman"/>
          <w:kern w:val="0"/>
          <w:szCs w:val="32"/>
        </w:rPr>
        <w:t>《电动汽车充换电设施工程施工和竣工验收规范》（NB/T 33004-2020）。</w:t>
      </w:r>
    </w:p>
    <w:sectPr>
      <w:footerReference r:id="rId3" w:type="default"/>
      <w:footerReference r:id="rId4" w:type="even"/>
      <w:pgSz w:w="11906" w:h="16838"/>
      <w:pgMar w:top="2098" w:right="1474" w:bottom="1871" w:left="1588" w:header="851" w:footer="1418" w:gutter="0"/>
      <w:pgNumType w:fmt="numberInDash"/>
      <w:cols w:space="425" w:num="1"/>
      <w:docGrid w:type="linesAndChars" w:linePitch="584"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Times New Roman"/>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方正楷体简体">
    <w:altName w:val="方正楷体_GBK"/>
    <w:panose1 w:val="02000000000000000000"/>
    <w:charset w:val="86"/>
    <w:family w:val="auto"/>
    <w:pitch w:val="default"/>
    <w:sig w:usb0="00000000" w:usb1="00000000" w:usb2="00000012" w:usb3="00000000" w:csb0="00040001" w:csb1="0000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8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DejaVu Sans">
    <w:panose1 w:val="020B0603030804020204"/>
    <w:charset w:val="00"/>
    <w:family w:val="auto"/>
    <w:pitch w:val="default"/>
    <w:sig w:usb0="E7006EFF" w:usb1="D200FDFF" w:usb2="0A246029" w:usb3="0400200C" w:csb0="600001FF" w:csb1="DFFF0000"/>
  </w:font>
  <w:font w:name="GWZT-EN">
    <w:panose1 w:val="02020400000000000000"/>
    <w:charset w:val="86"/>
    <w:family w:val="auto"/>
    <w:pitch w:val="default"/>
    <w:sig w:usb0="A00002BF" w:usb1="38CF7CFA" w:usb2="00082016" w:usb3="00000000" w:csb0="00040001" w:csb1="00000000"/>
  </w:font>
  <w:font w:name="MathJax_Vector">
    <w:panose1 w:val="02000603000000000000"/>
    <w:charset w:val="00"/>
    <w:family w:val="auto"/>
    <w:pitch w:val="default"/>
    <w:sig w:usb0="00000001" w:usb1="0000002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7569684"/>
      <w:docPartObj>
        <w:docPartGallery w:val="autotext"/>
      </w:docPartObj>
    </w:sdtPr>
    <w:sdtEndPr>
      <w:rPr>
        <w:rFonts w:asciiTheme="minorEastAsia" w:hAnsiTheme="minorEastAsia" w:eastAsiaTheme="minorEastAsia"/>
        <w:sz w:val="28"/>
        <w:szCs w:val="28"/>
      </w:rPr>
    </w:sdtEndPr>
    <w:sdtContent>
      <w:p w14:paraId="3D9B558E">
        <w:pPr>
          <w:pStyle w:val="8"/>
          <w:jc w:val="right"/>
          <w:rPr>
            <w:rFonts w:hint="eastAsia"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EndPr>
      <w:rPr>
        <w:rFonts w:asciiTheme="minorEastAsia" w:hAnsiTheme="minorEastAsia" w:eastAsiaTheme="minorEastAsia"/>
        <w:sz w:val="28"/>
        <w:szCs w:val="28"/>
      </w:rPr>
    </w:sdtEndPr>
    <w:sdtContent>
      <w:p w14:paraId="5570490F">
        <w:pPr>
          <w:pStyle w:val="8"/>
          <w:rPr>
            <w:rFonts w:hint="eastAsia"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HorizontalSpacing w:val="158"/>
  <w:drawingGridVerticalSpacing w:val="292"/>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4DE"/>
    <w:rsid w:val="00021083"/>
    <w:rsid w:val="00021C8C"/>
    <w:rsid w:val="0002482A"/>
    <w:rsid w:val="00032ACF"/>
    <w:rsid w:val="00042BCA"/>
    <w:rsid w:val="00043796"/>
    <w:rsid w:val="000564CB"/>
    <w:rsid w:val="00057635"/>
    <w:rsid w:val="0007523D"/>
    <w:rsid w:val="0009785C"/>
    <w:rsid w:val="000F6A7C"/>
    <w:rsid w:val="00110D31"/>
    <w:rsid w:val="00151AA7"/>
    <w:rsid w:val="00151EA9"/>
    <w:rsid w:val="00180FE8"/>
    <w:rsid w:val="001A6474"/>
    <w:rsid w:val="001B18F4"/>
    <w:rsid w:val="001C5EE4"/>
    <w:rsid w:val="001D1775"/>
    <w:rsid w:val="001D57E9"/>
    <w:rsid w:val="00203303"/>
    <w:rsid w:val="00206090"/>
    <w:rsid w:val="00243CE9"/>
    <w:rsid w:val="00256111"/>
    <w:rsid w:val="00274057"/>
    <w:rsid w:val="002921ED"/>
    <w:rsid w:val="002A5B63"/>
    <w:rsid w:val="002C2C74"/>
    <w:rsid w:val="002D4D52"/>
    <w:rsid w:val="002F153C"/>
    <w:rsid w:val="00316EEE"/>
    <w:rsid w:val="00341243"/>
    <w:rsid w:val="00350539"/>
    <w:rsid w:val="003655EE"/>
    <w:rsid w:val="0037574D"/>
    <w:rsid w:val="00380185"/>
    <w:rsid w:val="00380AF5"/>
    <w:rsid w:val="00381629"/>
    <w:rsid w:val="003951A3"/>
    <w:rsid w:val="003A2275"/>
    <w:rsid w:val="003D4732"/>
    <w:rsid w:val="003E04F1"/>
    <w:rsid w:val="00440D4C"/>
    <w:rsid w:val="0045334D"/>
    <w:rsid w:val="00487BC4"/>
    <w:rsid w:val="004B6389"/>
    <w:rsid w:val="00502BE1"/>
    <w:rsid w:val="00572D00"/>
    <w:rsid w:val="005A3E5B"/>
    <w:rsid w:val="005B7696"/>
    <w:rsid w:val="005C3F75"/>
    <w:rsid w:val="005C7AF3"/>
    <w:rsid w:val="005D4FB3"/>
    <w:rsid w:val="00611CB4"/>
    <w:rsid w:val="006135A4"/>
    <w:rsid w:val="00614414"/>
    <w:rsid w:val="00625BFE"/>
    <w:rsid w:val="0063095D"/>
    <w:rsid w:val="00633252"/>
    <w:rsid w:val="0063514E"/>
    <w:rsid w:val="00642ADF"/>
    <w:rsid w:val="00675471"/>
    <w:rsid w:val="00681367"/>
    <w:rsid w:val="00692477"/>
    <w:rsid w:val="006A51AA"/>
    <w:rsid w:val="006B1D19"/>
    <w:rsid w:val="006C3020"/>
    <w:rsid w:val="006C6A76"/>
    <w:rsid w:val="006C7D9B"/>
    <w:rsid w:val="00723855"/>
    <w:rsid w:val="00752418"/>
    <w:rsid w:val="00787F4B"/>
    <w:rsid w:val="00790F47"/>
    <w:rsid w:val="007D4B28"/>
    <w:rsid w:val="007D536F"/>
    <w:rsid w:val="007D7E80"/>
    <w:rsid w:val="00800DFA"/>
    <w:rsid w:val="008010F4"/>
    <w:rsid w:val="00805462"/>
    <w:rsid w:val="0081089C"/>
    <w:rsid w:val="00817130"/>
    <w:rsid w:val="008201EA"/>
    <w:rsid w:val="0083289F"/>
    <w:rsid w:val="00873398"/>
    <w:rsid w:val="00893EDA"/>
    <w:rsid w:val="008A10AD"/>
    <w:rsid w:val="008A1DB1"/>
    <w:rsid w:val="008B690F"/>
    <w:rsid w:val="008D21D8"/>
    <w:rsid w:val="008D5022"/>
    <w:rsid w:val="008D5C2C"/>
    <w:rsid w:val="008D7F83"/>
    <w:rsid w:val="009006FB"/>
    <w:rsid w:val="00900B1B"/>
    <w:rsid w:val="0090695B"/>
    <w:rsid w:val="009428EE"/>
    <w:rsid w:val="009658A7"/>
    <w:rsid w:val="009661B6"/>
    <w:rsid w:val="00967CAC"/>
    <w:rsid w:val="00975B4D"/>
    <w:rsid w:val="009808A9"/>
    <w:rsid w:val="009B4A9C"/>
    <w:rsid w:val="009C06F0"/>
    <w:rsid w:val="009C3414"/>
    <w:rsid w:val="009E4F51"/>
    <w:rsid w:val="00A04E69"/>
    <w:rsid w:val="00A11256"/>
    <w:rsid w:val="00A14BF3"/>
    <w:rsid w:val="00A259FD"/>
    <w:rsid w:val="00A71EDE"/>
    <w:rsid w:val="00A8437F"/>
    <w:rsid w:val="00A8526F"/>
    <w:rsid w:val="00AA4E68"/>
    <w:rsid w:val="00AB0A84"/>
    <w:rsid w:val="00AC6FD3"/>
    <w:rsid w:val="00AD612C"/>
    <w:rsid w:val="00AD66EC"/>
    <w:rsid w:val="00B2462D"/>
    <w:rsid w:val="00B72EBB"/>
    <w:rsid w:val="00B814DE"/>
    <w:rsid w:val="00BE5FE7"/>
    <w:rsid w:val="00BF1981"/>
    <w:rsid w:val="00BF5558"/>
    <w:rsid w:val="00BF6236"/>
    <w:rsid w:val="00C0361D"/>
    <w:rsid w:val="00C20B3C"/>
    <w:rsid w:val="00C36929"/>
    <w:rsid w:val="00C37EFF"/>
    <w:rsid w:val="00C84701"/>
    <w:rsid w:val="00C86BAD"/>
    <w:rsid w:val="00C94B92"/>
    <w:rsid w:val="00CB6921"/>
    <w:rsid w:val="00CF3482"/>
    <w:rsid w:val="00D1663A"/>
    <w:rsid w:val="00D47870"/>
    <w:rsid w:val="00D80631"/>
    <w:rsid w:val="00D86401"/>
    <w:rsid w:val="00D915C2"/>
    <w:rsid w:val="00D919AA"/>
    <w:rsid w:val="00D96E9A"/>
    <w:rsid w:val="00DA5EC8"/>
    <w:rsid w:val="00DB06A0"/>
    <w:rsid w:val="00DC499A"/>
    <w:rsid w:val="00DD2EB5"/>
    <w:rsid w:val="00DE6CBE"/>
    <w:rsid w:val="00DF3D20"/>
    <w:rsid w:val="00E01577"/>
    <w:rsid w:val="00E1621E"/>
    <w:rsid w:val="00E1695F"/>
    <w:rsid w:val="00E22B78"/>
    <w:rsid w:val="00E23F23"/>
    <w:rsid w:val="00E46BCB"/>
    <w:rsid w:val="00E5129F"/>
    <w:rsid w:val="00EA6E3F"/>
    <w:rsid w:val="00EA7251"/>
    <w:rsid w:val="00EA7536"/>
    <w:rsid w:val="00EB7058"/>
    <w:rsid w:val="00EC6009"/>
    <w:rsid w:val="00F058FC"/>
    <w:rsid w:val="00F53194"/>
    <w:rsid w:val="00F76007"/>
    <w:rsid w:val="00F7672B"/>
    <w:rsid w:val="00F905EA"/>
    <w:rsid w:val="00F92B3C"/>
    <w:rsid w:val="00FA34E0"/>
    <w:rsid w:val="00FB5082"/>
    <w:rsid w:val="00FD053A"/>
    <w:rsid w:val="00FE0E7F"/>
    <w:rsid w:val="00FE1BB7"/>
    <w:rsid w:val="27B75735"/>
    <w:rsid w:val="D0DDE65B"/>
    <w:rsid w:val="D71D114F"/>
    <w:rsid w:val="FBFF9369"/>
    <w:rsid w:val="FFFF64D0"/>
    <w:rsid w:val="FFFFF7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宋体"/>
      <w:kern w:val="2"/>
      <w:sz w:val="32"/>
      <w:szCs w:val="24"/>
      <w:lang w:val="en-US" w:eastAsia="zh-CN" w:bidi="ar-SA"/>
    </w:rPr>
  </w:style>
  <w:style w:type="paragraph" w:styleId="3">
    <w:name w:val="heading 1"/>
    <w:basedOn w:val="1"/>
    <w:next w:val="1"/>
    <w:qFormat/>
    <w:uiPriority w:val="9"/>
    <w:pPr>
      <w:spacing w:beforeAutospacing="1" w:afterAutospacing="1"/>
      <w:jc w:val="left"/>
      <w:outlineLvl w:val="0"/>
    </w:pPr>
    <w:rPr>
      <w:rFonts w:hint="eastAsia" w:ascii="宋体" w:hAnsi="宋体" w:cs="Times New Roman"/>
      <w:b/>
      <w:bCs/>
      <w:kern w:val="44"/>
      <w:sz w:val="48"/>
      <w:szCs w:val="48"/>
    </w:rPr>
  </w:style>
  <w:style w:type="paragraph" w:styleId="4">
    <w:name w:val="heading 2"/>
    <w:basedOn w:val="1"/>
    <w:next w:val="1"/>
    <w:unhideWhenUsed/>
    <w:qFormat/>
    <w:uiPriority w:val="9"/>
    <w:pPr>
      <w:spacing w:beforeAutospacing="1" w:afterAutospacing="1"/>
      <w:jc w:val="left"/>
      <w:outlineLvl w:val="1"/>
    </w:pPr>
    <w:rPr>
      <w:rFonts w:hint="eastAsia" w:ascii="宋体" w:hAnsi="宋体" w:cs="Times New Roman"/>
      <w:b/>
      <w:bCs/>
      <w:kern w:val="0"/>
      <w:sz w:val="36"/>
      <w:szCs w:val="36"/>
    </w:rPr>
  </w:style>
  <w:style w:type="paragraph" w:styleId="5">
    <w:name w:val="heading 3"/>
    <w:basedOn w:val="1"/>
    <w:next w:val="1"/>
    <w:semiHidden/>
    <w:unhideWhenUsed/>
    <w:qFormat/>
    <w:uiPriority w:val="9"/>
    <w:pPr>
      <w:spacing w:beforeAutospacing="1" w:afterAutospacing="1"/>
      <w:jc w:val="left"/>
      <w:outlineLvl w:val="2"/>
    </w:pPr>
    <w:rPr>
      <w:rFonts w:hint="eastAsia" w:ascii="宋体" w:hAnsi="宋体" w:cs="Times New Roman"/>
      <w:b/>
      <w:bCs/>
      <w:kern w:val="0"/>
      <w:sz w:val="27"/>
      <w:szCs w:val="27"/>
    </w:rPr>
  </w:style>
  <w:style w:type="paragraph" w:styleId="2">
    <w:name w:val="heading 9"/>
    <w:basedOn w:val="1"/>
    <w:next w:val="1"/>
    <w:unhideWhenUsed/>
    <w:qFormat/>
    <w:uiPriority w:val="0"/>
    <w:pPr>
      <w:keepNext/>
      <w:keepLines/>
      <w:suppressAutoHyphens/>
      <w:bidi w:val="0"/>
      <w:spacing w:before="240" w:beforeLines="0" w:beforeAutospacing="0" w:after="64" w:afterLines="0" w:afterAutospacing="0" w:line="317" w:lineRule="auto"/>
      <w:outlineLvl w:val="8"/>
    </w:pPr>
    <w:rPr>
      <w:rFonts w:ascii="Arial" w:hAnsi="Arial" w:eastAsia="黑体"/>
      <w:color w:val="auto"/>
      <w:sz w:val="21"/>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pPr>
  </w:style>
  <w:style w:type="paragraph" w:styleId="7">
    <w:name w:val="caption"/>
    <w:basedOn w:val="1"/>
    <w:next w:val="1"/>
    <w:qFormat/>
    <w:uiPriority w:val="35"/>
    <w:rPr>
      <w:rFonts w:ascii="Arial" w:hAnsi="Arial" w:eastAsia="黑体"/>
      <w:sz w:val="20"/>
    </w:rPr>
  </w:style>
  <w:style w:type="paragraph" w:styleId="8">
    <w:name w:val="footer"/>
    <w:basedOn w:val="1"/>
    <w:link w:val="19"/>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line number"/>
    <w:basedOn w:val="14"/>
    <w:semiHidden/>
    <w:unhideWhenUsed/>
    <w:qFormat/>
    <w:uiPriority w:val="99"/>
  </w:style>
  <w:style w:type="paragraph" w:styleId="17">
    <w:name w:val="List Paragraph"/>
    <w:basedOn w:val="1"/>
    <w:qFormat/>
    <w:uiPriority w:val="34"/>
    <w:pPr>
      <w:ind w:left="720"/>
      <w:contextualSpacing/>
    </w:pPr>
  </w:style>
  <w:style w:type="paragraph" w:customStyle="1" w:styleId="1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9">
    <w:name w:val="页脚 字符"/>
    <w:basedOn w:val="14"/>
    <w:link w:val="8"/>
    <w:qFormat/>
    <w:uiPriority w:val="99"/>
    <w:rPr>
      <w:rFonts w:eastAsia="仿宋_GB2312" w:cs="宋体"/>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C449F9BF-5C6B-455D-8955-41022EB237AF}">
  <ds:schemaRefs/>
</ds:datastoreItem>
</file>

<file path=docProps/app.xml><?xml version="1.0" encoding="utf-8"?>
<Properties xmlns="http://schemas.openxmlformats.org/officeDocument/2006/extended-properties" xmlns:vt="http://schemas.openxmlformats.org/officeDocument/2006/docPropsVTypes">
  <Template>Normal.dotm</Template>
  <Pages>23</Pages>
  <Words>7334</Words>
  <Characters>7770</Characters>
  <Lines>59</Lines>
  <Paragraphs>16</Paragraphs>
  <TotalTime>152</TotalTime>
  <ScaleCrop>false</ScaleCrop>
  <LinksUpToDate>false</LinksUpToDate>
  <CharactersWithSpaces>7799</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2025-12-25T17:06:00Z</dcterms:created>
  <dc:creator>落羽</dc:creator>
  <cp:lastModifiedBy>西 an</cp:lastModifiedBy>
  <cp:lastPrinted>2025-12-30T17:37:00Z</cp:lastPrinted>
  <dcterms:modified xsi:type="dcterms:W3CDTF">2025-12-30T10:23:39Z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F5437BED6470E027AB37536979665E7E_43</vt:lpwstr>
  </property>
  <property fmtid="{D5CDD505-2E9C-101B-9397-08002B2CF9AE}" pid="4" name="KSOTemplateDocerSaveRecord">
    <vt:lpwstr>eyJoZGlkIjoiNTAxOWExZjNhYmQ4ZWE5NDFiNWNjNTQxZDM2NDMzMjAiLCJ1c2VySWQiOiIzMDg1NTc0NzkifQ==</vt:lpwstr>
  </property>
</Properties>
</file>