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C87D0">
      <w:pPr>
        <w:pStyle w:val="6"/>
        <w:keepNext w:val="0"/>
        <w:keepLines w:val="0"/>
        <w:widowControl/>
        <w:suppressLineNumbers w:val="0"/>
        <w:spacing w:before="75" w:beforeAutospacing="0" w:after="75" w:afterAutospacing="0" w:line="555" w:lineRule="atLeast"/>
        <w:ind w:left="0" w:right="0"/>
        <w:jc w:val="center"/>
        <w:rPr>
          <w:rFonts w:ascii="Calibri" w:hAnsi="Calibri" w:cs="Calibri"/>
          <w:sz w:val="21"/>
          <w:szCs w:val="21"/>
        </w:rPr>
      </w:pPr>
      <w:bookmarkStart w:id="0" w:name="_GoBack"/>
      <w:r>
        <w:rPr>
          <w:rFonts w:ascii="方正小标宋简体" w:hAnsi="方正小标宋简体" w:eastAsia="方正小标宋简体" w:cs="方正小标宋简体"/>
          <w:sz w:val="43"/>
          <w:szCs w:val="43"/>
        </w:rPr>
        <w:t>大武口区医疗保障局</w:t>
      </w:r>
      <w:r>
        <w:rPr>
          <w:rFonts w:hint="eastAsia" w:ascii="方正小标宋简体" w:hAnsi="方正小标宋简体" w:eastAsia="方正小标宋简体" w:cs="方正小标宋简体"/>
          <w:sz w:val="43"/>
          <w:szCs w:val="43"/>
        </w:rPr>
        <w:t>2021年法治政府建设工作报告</w:t>
      </w:r>
    </w:p>
    <w:bookmarkEnd w:id="0"/>
    <w:p w14:paraId="5C7CE98E">
      <w:pPr>
        <w:pStyle w:val="6"/>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ascii="仿宋_GB2312" w:hAnsi="Calibri" w:eastAsia="仿宋_GB2312" w:cs="仿宋_GB2312"/>
          <w:sz w:val="31"/>
          <w:szCs w:val="31"/>
        </w:rPr>
        <w:t>在</w:t>
      </w:r>
      <w:r>
        <w:rPr>
          <w:rFonts w:hint="default" w:ascii="仿宋_GB2312" w:hAnsi="Calibri" w:eastAsia="仿宋_GB2312" w:cs="仿宋_GB2312"/>
          <w:sz w:val="31"/>
          <w:szCs w:val="31"/>
        </w:rPr>
        <w:t>区委、区政府的正确领导下，区医疗保障局深入贯彻落实习近平法治思想、中央全面依法治国工作会议精神和自治区党委全面依法治区工作会议精神，我局紧紧围绕“以民为本、为民解困、为民服务”的工作宗旨，全面落实依法行政各项目标任务，着力提升医疗保障系统依法行政能力，促进了医疗保障事业健康发展，现将2021年法治政府建设工作报告如下：</w:t>
      </w:r>
    </w:p>
    <w:p w14:paraId="7915410B">
      <w:pPr>
        <w:pStyle w:val="6"/>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ascii="黑体" w:hAnsi="宋体" w:eastAsia="黑体" w:cs="黑体"/>
          <w:sz w:val="31"/>
          <w:szCs w:val="31"/>
        </w:rPr>
        <w:t>一、学习贯彻习近平法治思想和中央全面依法治国工作会议精神落实情况</w:t>
      </w:r>
    </w:p>
    <w:p w14:paraId="01DFEE74">
      <w:pPr>
        <w:pStyle w:val="6"/>
        <w:keepNext w:val="0"/>
        <w:keepLines w:val="0"/>
        <w:widowControl/>
        <w:suppressLineNumbers w:val="0"/>
        <w:spacing w:before="75" w:beforeAutospacing="0" w:after="75" w:afterAutospacing="0" w:line="540" w:lineRule="atLeast"/>
        <w:ind w:left="0" w:right="0" w:firstLine="645"/>
        <w:jc w:val="both"/>
        <w:rPr>
          <w:rFonts w:hint="default" w:ascii="Calibri" w:hAnsi="Calibri" w:cs="Calibri"/>
          <w:sz w:val="21"/>
          <w:szCs w:val="21"/>
        </w:rPr>
      </w:pPr>
      <w:r>
        <w:rPr>
          <w:rStyle w:val="9"/>
          <w:rFonts w:hint="default" w:ascii="仿宋_GB2312" w:hAnsi="Calibri" w:eastAsia="仿宋_GB2312" w:cs="仿宋_GB2312"/>
          <w:sz w:val="31"/>
          <w:szCs w:val="31"/>
        </w:rPr>
        <w:t>一是</w:t>
      </w:r>
      <w:r>
        <w:rPr>
          <w:rFonts w:hint="default" w:ascii="仿宋_GB2312" w:hAnsi="Calibri" w:eastAsia="仿宋_GB2312" w:cs="仿宋_GB2312"/>
          <w:sz w:val="31"/>
          <w:szCs w:val="31"/>
        </w:rPr>
        <w:t>局党组书记切实履行第一责任人责任，把推进法治建设工作纳入我局重要议事日程，纳入我局年度工作总体规划，与局每年各项重点工作同安排、同部署、同考核，建立学法用法制度，将领导干部带头学法用法、守法纳入</w:t>
      </w:r>
      <w:r>
        <w:rPr>
          <w:rFonts w:hint="eastAsia" w:ascii="仿宋_GB2312" w:eastAsia="仿宋_GB2312" w:cs="仿宋_GB2312"/>
          <w:sz w:val="31"/>
          <w:szCs w:val="31"/>
          <w:lang w:eastAsia="zh-CN"/>
        </w:rPr>
        <w:t>理论学习中心组</w:t>
      </w:r>
      <w:r>
        <w:rPr>
          <w:rFonts w:hint="default" w:ascii="仿宋_GB2312" w:hAnsi="Calibri" w:eastAsia="仿宋_GB2312" w:cs="仿宋_GB2312"/>
          <w:sz w:val="31"/>
          <w:szCs w:val="31"/>
        </w:rPr>
        <w:t>和干部培训学习计划、年终绩效考核，进一步增强全局上下法治思维和文明执法意识，提高法律素养和依法行政的能力。</w:t>
      </w:r>
      <w:r>
        <w:rPr>
          <w:rStyle w:val="9"/>
          <w:rFonts w:hint="default" w:ascii="仿宋_GB2312" w:hAnsi="Calibri" w:eastAsia="仿宋_GB2312" w:cs="仿宋_GB2312"/>
          <w:sz w:val="31"/>
          <w:szCs w:val="31"/>
        </w:rPr>
        <w:t>二是</w:t>
      </w:r>
      <w:r>
        <w:rPr>
          <w:rFonts w:hint="default" w:ascii="仿宋_GB2312" w:hAnsi="Calibri" w:eastAsia="仿宋_GB2312" w:cs="仿宋_GB2312"/>
          <w:sz w:val="31"/>
          <w:szCs w:val="31"/>
        </w:rPr>
        <w:t>实行依法决策机制。我局实行重大行政决策合法性审查机制和集体讨论决定的制度，定期召开局党组会议，就行政审批、行政执法、行政监督检查等管理事项、经费使用等重大行政决策进行集体讨论决定。对出台的规范性文件、特别重大事项，实施前均由法律顾问进行合法性审查。</w:t>
      </w:r>
      <w:r>
        <w:rPr>
          <w:rStyle w:val="9"/>
          <w:rFonts w:hint="default" w:ascii="仿宋_GB2312" w:hAnsi="Calibri" w:eastAsia="仿宋_GB2312" w:cs="仿宋_GB2312"/>
          <w:sz w:val="31"/>
          <w:szCs w:val="31"/>
        </w:rPr>
        <w:t>三是</w:t>
      </w:r>
      <w:r>
        <w:rPr>
          <w:rFonts w:hint="default" w:ascii="仿宋_GB2312" w:hAnsi="Calibri" w:eastAsia="仿宋_GB2312" w:cs="仿宋_GB2312"/>
          <w:sz w:val="31"/>
          <w:szCs w:val="31"/>
        </w:rPr>
        <w:t>坚持重视法治素养和法治能力的用人导向，我局始终把遵守法律、依法办事情况作为局干部年终考评的重要内容。进一步加强行政执法队伍建设，提高行政执法人员执法能力和水平，今年3月开展了行政执法人员培训，培训包括《中华人民共和国宪法》《中华人民共和国行政处罚法》《医疗救助办法》《基金监管条例》等内容，在培训结束后组织了行政执法专业法律知识考试并全部考试合格，行政执法证到期需换证和新申领行政执法证的行政执法人员参加了全区组织的行政执法证件考试，合格率达100%。</w:t>
      </w:r>
      <w:r>
        <w:rPr>
          <w:rStyle w:val="9"/>
          <w:rFonts w:hint="default" w:ascii="仿宋_GB2312" w:hAnsi="Calibri" w:eastAsia="仿宋_GB2312" w:cs="仿宋_GB2312"/>
          <w:sz w:val="31"/>
          <w:szCs w:val="31"/>
        </w:rPr>
        <w:t>四是</w:t>
      </w:r>
      <w:r>
        <w:rPr>
          <w:rFonts w:hint="default" w:ascii="仿宋_GB2312" w:hAnsi="Calibri" w:eastAsia="仿宋_GB2312" w:cs="仿宋_GB2312"/>
          <w:sz w:val="31"/>
          <w:szCs w:val="31"/>
        </w:rPr>
        <w:t>全面推行政务公开制度。在进一步细化公开内容、规范公开程序和格式的基础上，主动实行政务公开。我局的政务动态、机构设置、人事信息、年度工作总结及计划</w:t>
      </w:r>
      <w:r>
        <w:rPr>
          <w:rFonts w:hint="eastAsia" w:ascii="宋体" w:hAnsi="宋体" w:eastAsia="宋体" w:cs="宋体"/>
          <w:sz w:val="31"/>
          <w:szCs w:val="31"/>
        </w:rPr>
        <w:t>、</w:t>
      </w:r>
      <w:r>
        <w:rPr>
          <w:rFonts w:hint="default" w:ascii="仿宋_GB2312" w:hAnsi="Calibri" w:eastAsia="仿宋_GB2312" w:cs="仿宋_GB2312"/>
          <w:sz w:val="31"/>
          <w:szCs w:val="31"/>
        </w:rPr>
        <w:t>政策法规等信息，经保密审查后，通过政府网站、政务信息公开栏等，向社会进行了公开，并对外公布了服务热线，方便群众咨询、投诉、反映意见建议，保障了群众对</w:t>
      </w:r>
      <w:r>
        <w:rPr>
          <w:rFonts w:hint="eastAsia" w:ascii="宋体" w:hAnsi="宋体" w:eastAsia="宋体" w:cs="宋体"/>
          <w:sz w:val="31"/>
          <w:szCs w:val="31"/>
        </w:rPr>
        <w:t>医疗保障</w:t>
      </w:r>
      <w:r>
        <w:rPr>
          <w:rFonts w:hint="default" w:ascii="仿宋_GB2312" w:hAnsi="Calibri" w:eastAsia="仿宋_GB2312" w:cs="仿宋_GB2312"/>
          <w:sz w:val="31"/>
          <w:szCs w:val="31"/>
        </w:rPr>
        <w:t>各项工作的知情权、参与权与监督权。</w:t>
      </w:r>
    </w:p>
    <w:p w14:paraId="3CF60C30">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Fonts w:hint="default" w:ascii="黑体" w:hAnsi="宋体" w:eastAsia="黑体" w:cs="黑体"/>
          <w:sz w:val="31"/>
          <w:szCs w:val="31"/>
          <w:bdr w:val="none" w:color="auto" w:sz="0" w:space="0"/>
        </w:rPr>
        <w:t>二、党政主要负责人履行推进法治建设第一责任人职责落实情况</w:t>
      </w:r>
    </w:p>
    <w:p w14:paraId="16EA179C">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Style w:val="9"/>
          <w:rFonts w:hint="default" w:ascii="仿宋_GB2312" w:hAnsi="Calibri" w:eastAsia="仿宋_GB2312" w:cs="仿宋_GB2312"/>
          <w:sz w:val="31"/>
          <w:szCs w:val="31"/>
          <w:bdr w:val="none" w:color="auto" w:sz="0" w:space="0"/>
        </w:rPr>
        <w:t>一是</w:t>
      </w:r>
      <w:r>
        <w:rPr>
          <w:rFonts w:hint="default" w:ascii="仿宋_GB2312" w:hAnsi="Calibri" w:eastAsia="仿宋_GB2312" w:cs="仿宋_GB2312"/>
          <w:sz w:val="31"/>
          <w:szCs w:val="31"/>
          <w:bdr w:val="none" w:color="auto" w:sz="0" w:space="0"/>
        </w:rPr>
        <w:t>局党组书记切实履行第一责任人责任，把推进法治建设工作纳入我局重要议事日程，纳入我局年度工作总体规划，与局每年各项重点工作同安排、同部署、同考核，建立学法用法制度，将领导干部带头学法用法、守法纳入</w:t>
      </w:r>
      <w:r>
        <w:rPr>
          <w:rFonts w:hint="eastAsia" w:ascii="仿宋_GB2312" w:eastAsia="仿宋_GB2312" w:cs="仿宋_GB2312"/>
          <w:sz w:val="31"/>
          <w:szCs w:val="31"/>
          <w:bdr w:val="none" w:color="auto" w:sz="0" w:space="0"/>
          <w:lang w:eastAsia="zh-CN"/>
        </w:rPr>
        <w:t>理论学习中心组</w:t>
      </w:r>
      <w:r>
        <w:rPr>
          <w:rFonts w:hint="default" w:ascii="仿宋_GB2312" w:hAnsi="Calibri" w:eastAsia="仿宋_GB2312" w:cs="仿宋_GB2312"/>
          <w:sz w:val="31"/>
          <w:szCs w:val="31"/>
          <w:bdr w:val="none" w:color="auto" w:sz="0" w:space="0"/>
        </w:rPr>
        <w:t>和干部培训学习计划、年终绩效考核，进一步增强全局上下法治思维和文明执法意识，提高法律素养和依法行政的能力。</w:t>
      </w:r>
      <w:r>
        <w:rPr>
          <w:rStyle w:val="9"/>
          <w:rFonts w:hint="default" w:ascii="仿宋_GB2312" w:hAnsi="Calibri" w:eastAsia="仿宋_GB2312" w:cs="仿宋_GB2312"/>
          <w:sz w:val="31"/>
          <w:szCs w:val="31"/>
          <w:bdr w:val="none" w:color="auto" w:sz="0" w:space="0"/>
        </w:rPr>
        <w:t>二是</w:t>
      </w:r>
      <w:r>
        <w:rPr>
          <w:rFonts w:hint="default" w:ascii="仿宋_GB2312" w:hAnsi="Calibri" w:eastAsia="仿宋_GB2312" w:cs="仿宋_GB2312"/>
          <w:sz w:val="31"/>
          <w:szCs w:val="31"/>
          <w:bdr w:val="none" w:color="auto" w:sz="0" w:space="0"/>
        </w:rPr>
        <w:t>强化行政能力为目标，将法治政府建设工作纳入</w:t>
      </w:r>
      <w:r>
        <w:rPr>
          <w:rFonts w:hint="eastAsia" w:ascii="宋体" w:hAnsi="宋体" w:eastAsia="宋体" w:cs="宋体"/>
          <w:sz w:val="31"/>
          <w:szCs w:val="31"/>
          <w:bdr w:val="none" w:color="auto" w:sz="0" w:space="0"/>
        </w:rPr>
        <w:t>本</w:t>
      </w:r>
      <w:r>
        <w:rPr>
          <w:rFonts w:hint="default" w:ascii="仿宋_GB2312" w:hAnsi="Calibri" w:eastAsia="仿宋_GB2312" w:cs="仿宋_GB2312"/>
          <w:sz w:val="31"/>
          <w:szCs w:val="31"/>
          <w:bdr w:val="none" w:color="auto" w:sz="0" w:space="0"/>
        </w:rPr>
        <w:t>单位的重要议事日程，成立了由主要负责人任组长的依法行政工作领导小组及办公室，定期研究部署，精心组织安排，狠抓各项任务的落实，做到主要领导负总责，分管领导具体抓，相关</w:t>
      </w:r>
      <w:r>
        <w:rPr>
          <w:rFonts w:hint="eastAsia" w:ascii="宋体" w:hAnsi="宋体" w:eastAsia="宋体" w:cs="宋体"/>
          <w:sz w:val="31"/>
          <w:szCs w:val="31"/>
          <w:bdr w:val="none" w:color="auto" w:sz="0" w:space="0"/>
        </w:rPr>
        <w:t>办公室</w:t>
      </w:r>
      <w:r>
        <w:rPr>
          <w:rFonts w:hint="default" w:ascii="仿宋_GB2312" w:hAnsi="Calibri" w:eastAsia="仿宋_GB2312" w:cs="仿宋_GB2312"/>
          <w:sz w:val="31"/>
          <w:szCs w:val="31"/>
          <w:bdr w:val="none" w:color="auto" w:sz="0" w:space="0"/>
        </w:rPr>
        <w:t>合力推进的工作格局。</w:t>
      </w:r>
      <w:r>
        <w:rPr>
          <w:rStyle w:val="9"/>
          <w:rFonts w:hint="default" w:ascii="仿宋_GB2312" w:hAnsi="Calibri" w:eastAsia="仿宋_GB2312" w:cs="仿宋_GB2312"/>
          <w:sz w:val="31"/>
          <w:szCs w:val="31"/>
          <w:bdr w:val="none" w:color="auto" w:sz="0" w:space="0"/>
        </w:rPr>
        <w:t>三是</w:t>
      </w:r>
      <w:r>
        <w:rPr>
          <w:rFonts w:hint="default" w:ascii="仿宋_GB2312" w:hAnsi="Calibri" w:eastAsia="仿宋_GB2312" w:cs="仿宋_GB2312"/>
          <w:sz w:val="31"/>
          <w:szCs w:val="31"/>
          <w:bdr w:val="none" w:color="auto" w:sz="0" w:space="0"/>
        </w:rPr>
        <w:t>不断提升领导干部法治思维和法治能力。认真落实学法制度，把领导干部带头学法、模范守法作为树立法治理念、提高法治水平的关键抓实抓细。制定实施学法计划、方案，开展全员法治教育培训，做到学法计划、内容、时间、人员、效果“五落实”，督促领导干部不断强化法治思维、提升依法办事能力。参加年度行政执法证考试，参考率、优秀率达到100%。</w:t>
      </w:r>
    </w:p>
    <w:p w14:paraId="3A59AA9D">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Fonts w:hint="default" w:ascii="黑体" w:hAnsi="宋体" w:eastAsia="黑体" w:cs="黑体"/>
          <w:sz w:val="31"/>
          <w:szCs w:val="31"/>
          <w:bdr w:val="none" w:color="auto" w:sz="0" w:space="0"/>
        </w:rPr>
        <w:t>三、全面推行行政执法“三项制度”落实情况</w:t>
      </w:r>
    </w:p>
    <w:p w14:paraId="4E6A932D">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Style w:val="9"/>
          <w:rFonts w:ascii="楷体" w:hAnsi="楷体" w:eastAsia="楷体" w:cs="楷体"/>
          <w:sz w:val="31"/>
          <w:szCs w:val="31"/>
          <w:bdr w:val="none" w:color="auto" w:sz="0" w:space="0"/>
        </w:rPr>
        <w:t>（一）依法全面履行监管职能。</w:t>
      </w:r>
      <w:r>
        <w:rPr>
          <w:rStyle w:val="9"/>
          <w:rFonts w:hint="default" w:ascii="仿宋_GB2312" w:hAnsi="Calibri" w:eastAsia="仿宋_GB2312" w:cs="仿宋_GB2312"/>
          <w:sz w:val="31"/>
          <w:szCs w:val="31"/>
          <w:bdr w:val="none" w:color="auto" w:sz="0" w:space="0"/>
        </w:rPr>
        <w:t>一是</w:t>
      </w:r>
      <w:r>
        <w:rPr>
          <w:rFonts w:hint="default" w:ascii="仿宋_GB2312" w:hAnsi="Calibri" w:eastAsia="仿宋_GB2312" w:cs="仿宋_GB2312"/>
          <w:sz w:val="31"/>
          <w:szCs w:val="31"/>
          <w:bdr w:val="none" w:color="auto" w:sz="0" w:space="0"/>
        </w:rPr>
        <w:t>严格落实权责清单管理制度</w:t>
      </w:r>
      <w:r>
        <w:rPr>
          <w:rFonts w:hint="eastAsia" w:ascii="宋体" w:hAnsi="宋体" w:eastAsia="宋体" w:cs="宋体"/>
          <w:sz w:val="31"/>
          <w:szCs w:val="31"/>
          <w:bdr w:val="none" w:color="auto" w:sz="0" w:space="0"/>
        </w:rPr>
        <w:t>，</w:t>
      </w:r>
      <w:r>
        <w:rPr>
          <w:rFonts w:hint="default" w:ascii="仿宋_GB2312" w:hAnsi="Calibri" w:eastAsia="仿宋_GB2312" w:cs="仿宋_GB2312"/>
          <w:sz w:val="31"/>
          <w:szCs w:val="31"/>
          <w:bdr w:val="none" w:color="auto" w:sz="0" w:space="0"/>
        </w:rPr>
        <w:t>按照工作要求建立我局权力清单和责任清单，结合工作实际进行归整完善，结合行政职责事项规范抓好贯彻落实，并根据自治区和市</w:t>
      </w:r>
      <w:r>
        <w:rPr>
          <w:rFonts w:hint="eastAsia" w:ascii="宋体" w:hAnsi="宋体" w:eastAsia="宋体" w:cs="宋体"/>
          <w:sz w:val="31"/>
          <w:szCs w:val="31"/>
          <w:bdr w:val="none" w:color="auto" w:sz="0" w:space="0"/>
        </w:rPr>
        <w:t>医保</w:t>
      </w:r>
      <w:r>
        <w:rPr>
          <w:rFonts w:hint="default" w:ascii="仿宋_GB2312" w:hAnsi="Calibri" w:eastAsia="仿宋_GB2312" w:cs="仿宋_GB2312"/>
          <w:sz w:val="31"/>
          <w:szCs w:val="31"/>
          <w:bdr w:val="none" w:color="auto" w:sz="0" w:space="0"/>
        </w:rPr>
        <w:t>部门职责事项以及职责范围进行进一步的规范和调整。</w:t>
      </w:r>
      <w:r>
        <w:rPr>
          <w:rStyle w:val="9"/>
          <w:rFonts w:hint="default" w:ascii="仿宋_GB2312" w:hAnsi="Calibri" w:eastAsia="仿宋_GB2312" w:cs="仿宋_GB2312"/>
          <w:sz w:val="31"/>
          <w:szCs w:val="31"/>
          <w:bdr w:val="none" w:color="auto" w:sz="0" w:space="0"/>
        </w:rPr>
        <w:t>二是认</w:t>
      </w:r>
      <w:r>
        <w:rPr>
          <w:rFonts w:hint="default" w:ascii="仿宋_GB2312" w:hAnsi="Calibri" w:eastAsia="仿宋_GB2312" w:cs="仿宋_GB2312"/>
          <w:sz w:val="31"/>
          <w:szCs w:val="31"/>
          <w:bdr w:val="none" w:color="auto" w:sz="0" w:space="0"/>
        </w:rPr>
        <w:t>真落实行政许可和行政处罚“双公示”制度</w:t>
      </w:r>
      <w:r>
        <w:rPr>
          <w:rFonts w:hint="eastAsia" w:ascii="宋体" w:hAnsi="宋体" w:eastAsia="宋体" w:cs="宋体"/>
          <w:sz w:val="31"/>
          <w:szCs w:val="31"/>
          <w:bdr w:val="none" w:color="auto" w:sz="0" w:space="0"/>
        </w:rPr>
        <w:t>，</w:t>
      </w:r>
      <w:r>
        <w:rPr>
          <w:rFonts w:hint="default" w:ascii="仿宋_GB2312" w:hAnsi="Calibri" w:eastAsia="仿宋_GB2312" w:cs="仿宋_GB2312"/>
          <w:sz w:val="31"/>
          <w:szCs w:val="31"/>
          <w:bdr w:val="none" w:color="auto" w:sz="0" w:space="0"/>
        </w:rPr>
        <w:t>严格对照“双公示”事项权责清单，及时向社会公开相关信息。坚持“公开为常态、不公开为例外”的原则，对包括行政处罚决定书文号、执法依据、案件名称、行政相对人统一社会信用代码、处罚事由、作出处罚决定的部门、处罚结果和救济渠道等信息进行主动公开，进一步促进行政执法规范化、透明化。</w:t>
      </w:r>
      <w:r>
        <w:rPr>
          <w:rStyle w:val="9"/>
          <w:rFonts w:hint="default" w:ascii="楷体" w:hAnsi="楷体" w:eastAsia="楷体" w:cs="楷体"/>
          <w:sz w:val="31"/>
          <w:szCs w:val="31"/>
          <w:bdr w:val="none" w:color="auto" w:sz="0" w:space="0"/>
        </w:rPr>
        <w:t>（二）推进严格规范公正文明执法。一是</w:t>
      </w:r>
      <w:r>
        <w:rPr>
          <w:rFonts w:hint="default" w:ascii="仿宋_GB2312" w:hAnsi="Calibri" w:eastAsia="仿宋_GB2312" w:cs="仿宋_GB2312"/>
          <w:sz w:val="31"/>
          <w:szCs w:val="31"/>
          <w:bdr w:val="none" w:color="auto" w:sz="0" w:space="0"/>
        </w:rPr>
        <w:t>为建设法治政府，推动依法行政</w:t>
      </w:r>
      <w:r>
        <w:rPr>
          <w:rFonts w:hint="eastAsia" w:ascii="宋体" w:hAnsi="宋体" w:eastAsia="宋体" w:cs="宋体"/>
          <w:sz w:val="31"/>
          <w:szCs w:val="31"/>
          <w:bdr w:val="none" w:color="auto" w:sz="0" w:space="0"/>
        </w:rPr>
        <w:t>执法</w:t>
      </w:r>
      <w:r>
        <w:rPr>
          <w:rFonts w:hint="default" w:ascii="仿宋_GB2312" w:hAnsi="Calibri" w:eastAsia="仿宋_GB2312" w:cs="仿宋_GB2312"/>
          <w:sz w:val="31"/>
          <w:szCs w:val="31"/>
          <w:bdr w:val="none" w:color="auto" w:sz="0" w:space="0"/>
        </w:rPr>
        <w:t>水平不断提升，局领导不断强调法律在工作中的基石作用，在全局范围内开展了“学法、用法、普法”工作，紧扣责任，做好依法行政的践行者，法律权威的捍卫者。全局干部职工在法治培训中，通过学习法律，培养法治思维，提高法律素养，提升工作能力；在执法中，通过依法履职，践行法律职责，维护合法权益，保障法律权威；在宣传中，普及法律知识，告知法律责任明确法律要求。充分调动全局干部对于法治政府建设的积极性，提升依法行政水平。</w:t>
      </w:r>
      <w:r>
        <w:rPr>
          <w:rStyle w:val="9"/>
          <w:rFonts w:hint="default" w:ascii="仿宋_GB2312" w:hAnsi="Calibri" w:eastAsia="仿宋_GB2312" w:cs="仿宋_GB2312"/>
          <w:sz w:val="31"/>
          <w:szCs w:val="31"/>
          <w:bdr w:val="none" w:color="auto" w:sz="0" w:space="0"/>
        </w:rPr>
        <w:t>二是</w:t>
      </w:r>
      <w:r>
        <w:rPr>
          <w:rFonts w:hint="default" w:ascii="仿宋_GB2312" w:hAnsi="Calibri" w:eastAsia="仿宋_GB2312" w:cs="仿宋_GB2312"/>
          <w:sz w:val="31"/>
          <w:szCs w:val="31"/>
          <w:bdr w:val="none" w:color="auto" w:sz="0" w:space="0"/>
        </w:rPr>
        <w:t>聚焦医疗保障领域违法违规和欺诈骗保行为，以定点医疗机构为主要检查对象，以门诊服务、药店购药服务为主要检查内容，加强医疗保障反欺诈工作力度，形成高压态势，达到宣传法规、强化管理、净化环境、震慑犯罪的目的。截至目前通过开展打击欺诈骗保专项行动，检查定点医药机构</w:t>
      </w:r>
      <w:r>
        <w:rPr>
          <w:rFonts w:hint="default" w:ascii="仿宋_GB2312" w:hAnsi="宋体" w:eastAsia="仿宋_GB2312" w:cs="仿宋_GB2312"/>
          <w:sz w:val="31"/>
          <w:szCs w:val="31"/>
          <w:bdr w:val="none" w:color="auto" w:sz="0" w:space="0"/>
        </w:rPr>
        <w:t>19</w:t>
      </w:r>
      <w:r>
        <w:rPr>
          <w:rFonts w:hint="default" w:ascii="仿宋_GB2312" w:hAnsi="Calibri" w:eastAsia="仿宋_GB2312" w:cs="仿宋_GB2312"/>
          <w:sz w:val="31"/>
          <w:szCs w:val="31"/>
          <w:bdr w:val="none" w:color="auto" w:sz="0" w:space="0"/>
        </w:rPr>
        <w:t>家</w:t>
      </w:r>
      <w:r>
        <w:rPr>
          <w:rFonts w:hint="eastAsia" w:ascii="宋体" w:hAnsi="宋体" w:eastAsia="宋体" w:cs="宋体"/>
          <w:sz w:val="31"/>
          <w:szCs w:val="31"/>
          <w:bdr w:val="none" w:color="auto" w:sz="0" w:space="0"/>
        </w:rPr>
        <w:t>，</w:t>
      </w:r>
      <w:r>
        <w:rPr>
          <w:rFonts w:hint="default" w:ascii="仿宋_GB2312" w:hAnsi="Calibri" w:eastAsia="仿宋_GB2312" w:cs="仿宋_GB2312"/>
          <w:sz w:val="31"/>
          <w:szCs w:val="31"/>
          <w:bdr w:val="none" w:color="auto" w:sz="0" w:space="0"/>
        </w:rPr>
        <w:t>受理、查处群众举报医疗保障基金欺诈骗保案件</w:t>
      </w:r>
      <w:r>
        <w:rPr>
          <w:rFonts w:hint="default" w:ascii="仿宋_GB2312" w:hAnsi="宋体" w:eastAsia="仿宋_GB2312" w:cs="仿宋_GB2312"/>
          <w:sz w:val="31"/>
          <w:szCs w:val="31"/>
          <w:bdr w:val="none" w:color="auto" w:sz="0" w:space="0"/>
        </w:rPr>
        <w:t>0</w:t>
      </w:r>
      <w:r>
        <w:rPr>
          <w:rFonts w:hint="default" w:ascii="仿宋_GB2312" w:hAnsi="Calibri" w:eastAsia="仿宋_GB2312" w:cs="仿宋_GB2312"/>
          <w:sz w:val="31"/>
          <w:szCs w:val="31"/>
          <w:bdr w:val="none" w:color="auto" w:sz="0" w:space="0"/>
        </w:rPr>
        <w:t>例。公开曝光欺诈骗保典型案件</w:t>
      </w:r>
      <w:r>
        <w:rPr>
          <w:rFonts w:hint="default" w:ascii="仿宋_GB2312" w:hAnsi="宋体" w:eastAsia="仿宋_GB2312" w:cs="仿宋_GB2312"/>
          <w:sz w:val="31"/>
          <w:szCs w:val="31"/>
          <w:bdr w:val="none" w:color="auto" w:sz="0" w:space="0"/>
        </w:rPr>
        <w:t>0</w:t>
      </w:r>
      <w:r>
        <w:rPr>
          <w:rFonts w:hint="default" w:ascii="仿宋_GB2312" w:hAnsi="Calibri" w:eastAsia="仿宋_GB2312" w:cs="仿宋_GB2312"/>
          <w:sz w:val="31"/>
          <w:szCs w:val="31"/>
          <w:bdr w:val="none" w:color="auto" w:sz="0" w:space="0"/>
        </w:rPr>
        <w:t>起。</w:t>
      </w:r>
    </w:p>
    <w:p w14:paraId="287F363C">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Style w:val="9"/>
          <w:rFonts w:hint="default" w:ascii="楷体" w:hAnsi="楷体" w:eastAsia="楷体" w:cs="楷体"/>
          <w:sz w:val="31"/>
          <w:szCs w:val="31"/>
          <w:bdr w:val="none" w:color="auto" w:sz="0" w:space="0"/>
        </w:rPr>
        <w:t>（三）完善公开制度，加强监督监管能力</w:t>
      </w:r>
      <w:r>
        <w:rPr>
          <w:rFonts w:hint="default" w:ascii="黑体" w:hAnsi="宋体" w:eastAsia="黑体" w:cs="黑体"/>
          <w:sz w:val="31"/>
          <w:szCs w:val="31"/>
          <w:bdr w:val="none" w:color="auto" w:sz="0" w:space="0"/>
        </w:rPr>
        <w:t>。</w:t>
      </w:r>
      <w:r>
        <w:rPr>
          <w:rFonts w:hint="default" w:ascii="仿宋_GB2312" w:hAnsi="Calibri" w:eastAsia="仿宋_GB2312" w:cs="仿宋_GB2312"/>
          <w:sz w:val="31"/>
          <w:szCs w:val="31"/>
          <w:bdr w:val="none" w:color="auto" w:sz="0" w:space="0"/>
        </w:rPr>
        <w:t>一是加强事中事后监管。加大对医保基金的监管力度，坚持专常互补，协调开展常规检查、预警核查、专项抽查、投诉举报等各类检查，注重检查结果的分析运用和违规行为的追踪跟进，确保监督检查工作实效。二是多渠道开展宣传，营造全民监督浓厚氛围。运用海报、网页、宣传栏和公益广告、医保政策宣传等群众喜闻乐见、通俗易懂的宣传形式，加强舆论引导和正面宣传；深入定点医药机构，明确严重查处的措施，强化工作人员守法意识；公布打击欺诈骗保举报电话、发放宣传资料，充分利用报纸、微信、公众号等渠道，及时公开信息，凝聚打击欺诈骗保的正能量。以定点医疗机构为主要宣传场所，在醒目的位置发放宣传手册、设置宣传栏等，向参保人员和就医患者开展法律意识、政策规定宣讲，解答群众咨询和疑问，提高相关法律法规及政策措施的公众知晓率。进一步强化打击欺诈骗保，维护基金安全的力度，提高定点医疗机构和参保人员的法律意识，营造全社会关注并自觉维护医疗保障基金安全的良好氛围。</w:t>
      </w:r>
    </w:p>
    <w:p w14:paraId="3825D19E">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Fonts w:hint="default" w:ascii="黑体" w:hAnsi="宋体" w:eastAsia="黑体" w:cs="黑体"/>
          <w:sz w:val="31"/>
          <w:szCs w:val="31"/>
          <w:bdr w:val="none" w:color="auto" w:sz="0" w:space="0"/>
        </w:rPr>
        <w:t>四、存在的问题及下一步工作措施</w:t>
      </w:r>
    </w:p>
    <w:p w14:paraId="29E1FD2F">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bdr w:val="none" w:color="auto" w:sz="0" w:space="0"/>
        </w:rPr>
        <w:t>一是医保法规制度有待进一步健全。由于医保部门是新成立的机构，从中央到自治区关于医疗保障基金监管行政执法的行政法规和部门规章制度还不够健全，对于群众反映强烈热点难点问题，特别是涉及行政处罚的，还缺乏相应的法律依据，致使很多问题难以解决。二是执法队伍建设还需进一步提高。由于医疗保障局为新成立单位，专业检查人员比较紧缺，执法监管力量薄弱，距离执法专业化标准差距还较大，执法队伍建设面临困难较多。三是执法经验不足。由于都是从其他单位调入，大多没有相关执法经验，对执法程序较为生疏。四是普法宣传工作形式和效果不理想。开展法治宣传、法治培训教育工作形式单一，内容不够新颖丰富，有待进一步创新方法和手段，提高法治宣传教育的效果。</w:t>
      </w:r>
    </w:p>
    <w:p w14:paraId="2DAC579A">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bdr w:val="none" w:color="auto" w:sz="0" w:space="0"/>
        </w:rPr>
        <w:t>下一步，大武口区医疗保障局将紧紧围绕区委、区政府重点工作，认真履行医保行政职能，完善创新工作机制，狠抓落实，重点做好以下工作，进一步提升依法行政工作水平。一是基金监管能力有待提升。医保监管涉及专业性较强，执法过程中行政监管和经办稽核边界需要进一步理清。基层行政执法力量薄弱，影响执法效率；运用大数据监督、智慧监管手段开展监管能力有待提升。二是进一步加强法治队伍建设。加强法制机构人员配备，充实法制机构人员力量，加大对法制队伍的培训力度。三是进一步提高行政执法能力。开展法律法规知识培训，积极参加执法规范培训、案件集中会审等培训，开展岗位练兵，提高执法水平，努力打造一支作风优良、素质过硬的医保执法铁军。四是进一步强化法治宣传教育工作，坚持“谁执法、谁普法”，落实普法工作责任，提高法治意识。继续落实领导班子集体学法制度，着力提高领导干部运用法治思维决策的能力，有针对性、多渠道地加强对群众的普法宣传教育，提高群众法治意识。五是加强执法队伍建设，提高执法人员的素质。全面加强行政执法队伍建设。加大行政执法人员学习培训力度，提高依法行政工作水平。在领导班子中实施依法行政教育学习计划，全面提升党政领导干部的法律素养和自觉运用法律知识执政的能力水平。</w:t>
      </w:r>
    </w:p>
    <w:p w14:paraId="41C0E672">
      <w:pPr>
        <w:pStyle w:val="6"/>
        <w:keepNext w:val="0"/>
        <w:keepLines w:val="0"/>
        <w:widowControl/>
        <w:suppressLineNumbers w:val="0"/>
        <w:spacing w:before="105" w:beforeAutospacing="0" w:after="105" w:afterAutospacing="0"/>
        <w:ind w:left="0" w:right="0"/>
        <w:rPr>
          <w:rFonts w:hint="default" w:ascii="Calibri" w:hAnsi="Calibri" w:cs="Calibri"/>
          <w:sz w:val="24"/>
          <w:szCs w:val="24"/>
        </w:rPr>
      </w:pPr>
      <w:r>
        <w:rPr>
          <w:rFonts w:hint="default" w:ascii="Calibri" w:hAnsi="Calibri" w:cs="Calibri"/>
          <w:sz w:val="24"/>
          <w:szCs w:val="24"/>
        </w:rPr>
        <w:t> </w:t>
      </w:r>
    </w:p>
    <w:p w14:paraId="0398A050">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bdr w:val="none" w:color="auto" w:sz="0" w:space="0"/>
        </w:rPr>
        <w:t> </w:t>
      </w:r>
    </w:p>
    <w:p w14:paraId="3226FF19">
      <w:pPr>
        <w:pStyle w:val="6"/>
        <w:keepNext w:val="0"/>
        <w:keepLines w:val="0"/>
        <w:widowControl/>
        <w:suppressLineNumbers w:val="0"/>
        <w:pBdr>
          <w:top w:val="none" w:color="auto" w:sz="0" w:space="0"/>
          <w:left w:val="none" w:color="auto" w:sz="0" w:space="0"/>
          <w:bottom w:val="single" w:color="FFFFFF" w:sz="6" w:space="30"/>
          <w:right w:val="none" w:color="auto" w:sz="0" w:space="0"/>
        </w:pBdr>
        <w:spacing w:before="75" w:beforeAutospacing="0" w:after="75" w:afterAutospacing="0" w:line="540"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bdr w:val="none" w:color="auto" w:sz="0" w:space="0"/>
        </w:rPr>
        <w:t> </w:t>
      </w:r>
    </w:p>
    <w:p w14:paraId="39746E49">
      <w:pPr>
        <w:pStyle w:val="6"/>
        <w:keepNext w:val="0"/>
        <w:keepLines w:val="0"/>
        <w:widowControl/>
        <w:suppressLineNumbers w:val="0"/>
        <w:spacing w:before="75" w:beforeAutospacing="0" w:after="75" w:afterAutospacing="0"/>
        <w:ind w:left="0" w:right="0" w:firstLine="0"/>
        <w:jc w:val="both"/>
        <w:rPr>
          <w:rFonts w:hint="default" w:ascii="Calibri" w:hAnsi="Calibri" w:cs="Calibri"/>
          <w:sz w:val="24"/>
          <w:szCs w:val="24"/>
        </w:rPr>
      </w:pPr>
      <w:r>
        <w:rPr>
          <w:rFonts w:hint="default" w:ascii="仿宋_GB2312" w:hAnsi="Calibri" w:eastAsia="仿宋_GB2312" w:cs="仿宋_GB2312"/>
          <w:sz w:val="31"/>
          <w:szCs w:val="31"/>
        </w:rPr>
        <w:t>                       大武口区医疗保障局</w:t>
      </w:r>
    </w:p>
    <w:p w14:paraId="0598DD15">
      <w:pPr>
        <w:pStyle w:val="6"/>
        <w:keepNext w:val="0"/>
        <w:keepLines w:val="0"/>
        <w:widowControl/>
        <w:suppressLineNumbers w:val="0"/>
        <w:spacing w:before="75" w:beforeAutospacing="0" w:after="75" w:afterAutospacing="0"/>
        <w:ind w:left="0" w:right="0" w:firstLine="0"/>
        <w:jc w:val="both"/>
        <w:rPr>
          <w:rFonts w:hint="default" w:ascii="Calibri" w:hAnsi="Calibri" w:cs="Calibri"/>
          <w:sz w:val="24"/>
          <w:szCs w:val="24"/>
        </w:rPr>
      </w:pPr>
      <w:r>
        <w:rPr>
          <w:rFonts w:hint="default" w:ascii="仿宋_GB2312" w:hAnsi="Calibri" w:eastAsia="仿宋_GB2312" w:cs="仿宋_GB2312"/>
          <w:sz w:val="31"/>
          <w:szCs w:val="31"/>
        </w:rPr>
        <w:t>                        2022年1月11日</w:t>
      </w:r>
    </w:p>
    <w:p w14:paraId="4C75DB8F">
      <w:pPr>
        <w:pStyle w:val="6"/>
        <w:keepNext w:val="0"/>
        <w:keepLines w:val="0"/>
        <w:widowControl/>
        <w:suppressLineNumbers w:val="0"/>
        <w:spacing w:before="75" w:beforeAutospacing="0" w:after="75" w:afterAutospacing="0"/>
        <w:ind w:left="0" w:right="0"/>
      </w:pPr>
    </w:p>
    <w:p w14:paraId="34EB2AFC">
      <w:pPr>
        <w:rPr>
          <w:rFonts w:hint="default"/>
          <w:lang w:val="en-US" w:eastAsia="zh-CN"/>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5E7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2963B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12963B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988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DFA287"/>
    <w:rsid w:val="7DFED1F6"/>
    <w:rsid w:val="9DBFA78B"/>
    <w:rsid w:val="D5DFA287"/>
    <w:rsid w:val="F7FF12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2"/>
    <w:basedOn w:val="3"/>
    <w:qFormat/>
    <w:uiPriority w:val="0"/>
    <w:pPr>
      <w:tabs>
        <w:tab w:val="left" w:pos="1260"/>
      </w:tabs>
      <w:ind w:left="420" w:firstLine="210"/>
    </w:pPr>
    <w:rPr>
      <w:sz w:val="24"/>
      <w:szCs w:val="24"/>
      <w:lang w:val="en-US" w:eastAsia="zh-CN" w:bidi="ar-SA"/>
    </w:rPr>
  </w:style>
  <w:style w:type="paragraph" w:styleId="3">
    <w:name w:val="Body Text Indent"/>
    <w:basedOn w:val="1"/>
    <w:qFormat/>
    <w:uiPriority w:val="0"/>
    <w:pPr>
      <w:ind w:firstLine="540" w:firstLineChars="180"/>
    </w:pPr>
    <w:rPr>
      <w:sz w:val="3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306</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2022-01-12T10:54:00Z</dcterms:created>
  <dc:creator>kylin</dc:creator>
  <cp:lastModifiedBy>kylin</cp:lastModifiedBy>
  <cp:lastPrinted>2022-01-12T16:29:38Z</cp:lastPrinted>
  <dcterms:modified xsi:type="dcterms:W3CDTF">2026-04-23T09:42:27Z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5374B386D3EFB8220379E969F9CEA2A0_43</vt:lpwstr>
  </property>
</Properties>
</file>