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68D90A">
      <w:pPr>
        <w:pStyle w:val="5"/>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sz w:val="43"/>
          <w:szCs w:val="43"/>
        </w:rPr>
        <w:br w:type="textWrapping"/>
      </w:r>
      <w:bookmarkStart w:id="0" w:name="_GoBack"/>
      <w:r>
        <w:rPr>
          <w:rStyle w:val="8"/>
          <w:rFonts w:hint="eastAsia" w:ascii="方正小标宋简体" w:hAnsi="方正小标宋简体" w:eastAsia="方正小标宋简体" w:cs="方正小标宋简体"/>
          <w:sz w:val="43"/>
          <w:szCs w:val="43"/>
        </w:rPr>
        <w:t>2017年大武口区财政预算信息公开</w:t>
      </w:r>
    </w:p>
    <w:p w14:paraId="7564014E">
      <w:pPr>
        <w:pStyle w:val="5"/>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21"/>
          <w:szCs w:val="21"/>
        </w:rPr>
      </w:pPr>
      <w:r>
        <w:rPr>
          <w:rStyle w:val="8"/>
          <w:rFonts w:hint="eastAsia" w:ascii="方正小标宋简体" w:hAnsi="方正小标宋简体" w:eastAsia="方正小标宋简体" w:cs="方正小标宋简体"/>
          <w:sz w:val="43"/>
          <w:szCs w:val="43"/>
        </w:rPr>
        <w:t>情况说明</w:t>
      </w:r>
    </w:p>
    <w:bookmarkEnd w:id="0"/>
    <w:p w14:paraId="5B920E21">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Times New Roman" w:hAnsi="Times New Roman" w:cs="Times New Roman"/>
          <w:sz w:val="31"/>
          <w:szCs w:val="31"/>
        </w:rPr>
        <w:t> </w:t>
      </w:r>
    </w:p>
    <w:p w14:paraId="36248758">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ascii="仿宋_GB2312" w:hAnsi="Times New Roman" w:eastAsia="仿宋_GB2312" w:cs="仿宋_GB2312"/>
          <w:sz w:val="31"/>
          <w:szCs w:val="31"/>
        </w:rPr>
        <w:t>按照</w:t>
      </w:r>
      <w:r>
        <w:rPr>
          <w:rFonts w:hint="default" w:ascii="仿宋_GB2312" w:hAnsi="Times New Roman" w:eastAsia="仿宋_GB2312" w:cs="仿宋_GB2312"/>
          <w:sz w:val="31"/>
          <w:szCs w:val="31"/>
        </w:rPr>
        <w:t>“预算决算信息公开”的要求，我区财政在继续深化预算管理改革的基础上，积极响应，认真履行，以规范预算报告、实行预算披露为突破口，从细化预算报送内容和提高预算公开程度两方面着手，进一步促进预算编制和预算执行环节的透明，确定工作要点，全方位、多角度的扎实开展公开财政、部门预算信息，按照要求，进一步拓宽渠道，稳步推进，切实保障公民对财政、部门预算的知情权、参与权、表达权和监督权，有效促进我区财政依法理财、民主理财。主要做法和思路如下：</w:t>
      </w:r>
    </w:p>
    <w:p w14:paraId="2688FBEE">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Style w:val="8"/>
          <w:rFonts w:ascii="黑体" w:hAnsi="宋体" w:eastAsia="黑体" w:cs="黑体"/>
          <w:sz w:val="31"/>
          <w:szCs w:val="31"/>
        </w:rPr>
        <w:t>一、指导思想</w:t>
      </w:r>
    </w:p>
    <w:p w14:paraId="49EF221C">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认真贯彻落实《中华人民共和国预算法》的要求，深入实践科学发展观，深化预算管理制度改革，提高辖区财政和部门预算面向人大和面向社会公众的公开性和透明度，保障人民群众依法参加民主决策、民主管理和民主监督，促进政府财政行为的程序化、规范化、法制化。</w:t>
      </w:r>
    </w:p>
    <w:p w14:paraId="08330E6D">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Style w:val="8"/>
          <w:rFonts w:hint="default" w:ascii="黑体" w:hAnsi="宋体" w:eastAsia="黑体" w:cs="黑体"/>
          <w:sz w:val="31"/>
          <w:szCs w:val="31"/>
        </w:rPr>
        <w:t>二、工作目标</w:t>
      </w:r>
    </w:p>
    <w:p w14:paraId="15E64421">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大武口区财政严格按照财政部地方预决算公开操作规程的要求，结合推进财政政务公开工作，按照规定的工作程序，做到经常性工作长期公开，阶段性工作逐段公开，临时性工作随时公开，涉及群众切身利益的事项及时公开，逐步建立起完善的财政预决算信息披露制度。</w:t>
      </w:r>
    </w:p>
    <w:p w14:paraId="1926A50E">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Style w:val="8"/>
          <w:rFonts w:hint="default" w:ascii="黑体" w:hAnsi="宋体" w:eastAsia="黑体" w:cs="黑体"/>
          <w:sz w:val="31"/>
          <w:szCs w:val="31"/>
        </w:rPr>
        <w:t>三、公开单位增减变化的说明</w:t>
      </w:r>
    </w:p>
    <w:p w14:paraId="2E5F773F">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2017年共公开一级预算单位46个，比2016年预算公开的单位数少了4个，主要是大武口区人民法院和大武口区人民检察院统一上划为自治区管理，同时老干部局、关心下一代工作委员会调整为二级单位。</w:t>
      </w:r>
    </w:p>
    <w:p w14:paraId="215D2454">
      <w:pPr>
        <w:pStyle w:val="5"/>
        <w:keepNext w:val="0"/>
        <w:keepLines w:val="0"/>
        <w:widowControl/>
        <w:suppressLineNumbers w:val="0"/>
        <w:spacing w:before="75" w:beforeAutospacing="0" w:after="75" w:afterAutospacing="0"/>
        <w:ind w:left="0" w:right="0" w:firstLine="72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公开地址：区委、区</w:t>
      </w:r>
      <w:r>
        <w:rPr>
          <w:rFonts w:hint="default" w:ascii="仿宋_GB2312" w:hAnsi="Times New Roman" w:eastAsia="仿宋_GB2312" w:cs="仿宋_GB2312"/>
          <w:color w:val="181818"/>
          <w:sz w:val="31"/>
          <w:szCs w:val="31"/>
        </w:rPr>
        <w:t>政府部门等</w:t>
      </w:r>
      <w:r>
        <w:rPr>
          <w:rFonts w:hint="default" w:ascii="Times New Roman" w:hAnsi="Times New Roman" w:eastAsia="仿宋_GB2312" w:cs="Times New Roman"/>
          <w:color w:val="181818"/>
          <w:sz w:val="31"/>
          <w:szCs w:val="31"/>
        </w:rPr>
        <w:t>66</w:t>
      </w:r>
      <w:r>
        <w:rPr>
          <w:rFonts w:hint="default" w:ascii="仿宋_GB2312" w:hAnsi="Times New Roman" w:eastAsia="仿宋_GB2312" w:cs="仿宋_GB2312"/>
          <w:color w:val="181818"/>
          <w:sz w:val="31"/>
          <w:szCs w:val="31"/>
        </w:rPr>
        <w:t>个单位在大武口区政府门户网站上公开（地址</w:t>
      </w:r>
      <w:r>
        <w:rPr>
          <w:rFonts w:hint="default" w:ascii="Times New Roman" w:hAnsi="Times New Roman" w:cs="Times New Roman"/>
          <w:color w:val="181818"/>
          <w:sz w:val="31"/>
          <w:szCs w:val="31"/>
        </w:rPr>
        <w:t>http://www.dwk.gov.cn/zhengwug</w:t>
      </w:r>
    </w:p>
    <w:p w14:paraId="7890E45A">
      <w:pPr>
        <w:pStyle w:val="5"/>
        <w:keepNext w:val="0"/>
        <w:keepLines w:val="0"/>
        <w:widowControl/>
        <w:suppressLineNumbers w:val="0"/>
        <w:spacing w:before="75" w:beforeAutospacing="0" w:after="75" w:afterAutospacing="0"/>
        <w:ind w:left="0" w:right="0"/>
        <w:rPr>
          <w:rFonts w:hint="default" w:ascii="Times New Roman" w:hAnsi="Times New Roman" w:cs="Times New Roman"/>
          <w:sz w:val="21"/>
          <w:szCs w:val="21"/>
        </w:rPr>
      </w:pPr>
      <w:r>
        <w:rPr>
          <w:rFonts w:hint="default" w:ascii="Times New Roman" w:hAnsi="Times New Roman" w:cs="Times New Roman"/>
          <w:color w:val="181818"/>
          <w:sz w:val="31"/>
          <w:szCs w:val="31"/>
        </w:rPr>
        <w:t>ongkai.htm</w:t>
      </w:r>
      <w:r>
        <w:rPr>
          <w:rFonts w:hint="default" w:ascii="仿宋_GB2312" w:hAnsi="Times New Roman" w:eastAsia="仿宋_GB2312" w:cs="仿宋_GB2312"/>
          <w:color w:val="181818"/>
          <w:sz w:val="31"/>
          <w:szCs w:val="31"/>
        </w:rPr>
        <w:t>），教育体育局及其所属学校在大武口区教育体育局网站公开</w:t>
      </w:r>
      <w:r>
        <w:rPr>
          <w:rFonts w:hint="default" w:ascii="Times New Roman" w:hAnsi="Times New Roman" w:cs="Times New Roman"/>
          <w:color w:val="181818"/>
          <w:sz w:val="31"/>
          <w:szCs w:val="31"/>
        </w:rPr>
        <w:t>（</w:t>
      </w:r>
      <w:r>
        <w:rPr>
          <w:rFonts w:hint="default" w:ascii="仿宋_GB2312" w:hAnsi="Times New Roman" w:eastAsia="仿宋_GB2312" w:cs="仿宋_GB2312"/>
          <w:color w:val="181818"/>
          <w:sz w:val="31"/>
          <w:szCs w:val="31"/>
        </w:rPr>
        <w:t>地址：</w:t>
      </w:r>
      <w:r>
        <w:rPr>
          <w:rFonts w:hint="default" w:ascii="Times New Roman" w:hAnsi="Times New Roman" w:cs="Times New Roman"/>
          <w:color w:val="181818"/>
          <w:sz w:val="31"/>
          <w:szCs w:val="31"/>
        </w:rPr>
        <w:t>http://dwkedu.30edu.com.cn/Article/51a</w:t>
      </w:r>
    </w:p>
    <w:p w14:paraId="41BF764D">
      <w:pPr>
        <w:pStyle w:val="5"/>
        <w:keepNext w:val="0"/>
        <w:keepLines w:val="0"/>
        <w:widowControl/>
        <w:suppressLineNumbers w:val="0"/>
        <w:spacing w:before="75" w:beforeAutospacing="0" w:after="75" w:afterAutospacing="0"/>
        <w:ind w:left="0" w:right="0"/>
        <w:rPr>
          <w:rFonts w:hint="default" w:ascii="Times New Roman" w:hAnsi="Times New Roman" w:cs="Times New Roman"/>
          <w:sz w:val="21"/>
          <w:szCs w:val="21"/>
        </w:rPr>
      </w:pPr>
      <w:r>
        <w:rPr>
          <w:rFonts w:hint="default" w:ascii="Times New Roman" w:hAnsi="Times New Roman" w:cs="Times New Roman"/>
          <w:color w:val="181818"/>
          <w:sz w:val="31"/>
          <w:szCs w:val="31"/>
        </w:rPr>
        <w:t>7a756-2487-4526-a951-6847d49468ad/）</w:t>
      </w:r>
      <w:r>
        <w:rPr>
          <w:rFonts w:hint="default" w:ascii="仿宋_GB2312" w:hAnsi="Times New Roman" w:eastAsia="仿宋_GB2312" w:cs="仿宋_GB2312"/>
          <w:color w:val="181818"/>
          <w:sz w:val="31"/>
          <w:szCs w:val="31"/>
        </w:rPr>
        <w:t>。</w:t>
      </w:r>
    </w:p>
    <w:p w14:paraId="7D2A3FAE">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Style w:val="8"/>
          <w:rFonts w:hint="default" w:ascii="黑体" w:hAnsi="宋体" w:eastAsia="黑体" w:cs="黑体"/>
          <w:sz w:val="31"/>
          <w:szCs w:val="31"/>
        </w:rPr>
        <w:t>四、公开方式和措施</w:t>
      </w:r>
    </w:p>
    <w:p w14:paraId="5D2060EC">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hint="default" w:ascii="仿宋_GB2312" w:hAnsi="Times New Roman" w:eastAsia="仿宋_GB2312" w:cs="仿宋_GB2312"/>
          <w:sz w:val="31"/>
          <w:szCs w:val="31"/>
        </w:rPr>
        <w:t>2017年我区财政借助各种载体，推进预决算公开。除对人代会和人大常务委员会通过的预决算报告、财政总预决算信息公开外，明确如何填报本部门的预决算编制说明，如何准确填报部门预决算信息公开相关报表。并通过大武口区政府门户网站、各部门网站等主流媒体公开，利用政府网站设立信息公开栏等便于公众获取信息的方式公开总预决算和部门预决算。同时，我区财政对预决算信息公开的形式注重实效，因地制宜，规范有序，坚决克服和防止形式主义。</w:t>
      </w:r>
    </w:p>
    <w:p w14:paraId="365B9DBC">
      <w:pPr>
        <w:pStyle w:val="5"/>
        <w:keepNext w:val="0"/>
        <w:keepLines w:val="0"/>
        <w:widowControl/>
        <w:suppressLineNumbers w:val="0"/>
        <w:spacing w:before="75" w:beforeAutospacing="0" w:after="75" w:afterAutospacing="0"/>
        <w:ind w:left="0" w:right="0" w:firstLine="720"/>
        <w:jc w:val="both"/>
        <w:rPr>
          <w:rFonts w:hint="default" w:ascii="Times New Roman" w:hAnsi="Times New Roman" w:cs="Times New Roman"/>
          <w:sz w:val="21"/>
          <w:szCs w:val="21"/>
        </w:rPr>
      </w:pPr>
      <w:r>
        <w:rPr>
          <w:rFonts w:hint="default" w:ascii="仿宋_GB2312" w:hAnsi="Times New Roman" w:eastAsia="仿宋_GB2312" w:cs="仿宋_GB2312"/>
          <w:sz w:val="31"/>
          <w:szCs w:val="31"/>
        </w:rPr>
        <w:t>要求各部门先到财政业务口审核填报数据准确后，再由部门负责人审核签字、盖章后公开。财政局结合绩效评价和财政监督工作，有针对性地开展抽查部门预决算信息公开详细情况，初步核实各单位都能够按照要求对内对外公开本部门预决算信息，使部门预决算信息公开工作取得了实实在在的效果，简单地概括为“两规范，两方便”即规范了财政行为，通过预算信息公开，财政预算编制、资金分配、预算追加等制度办法更加规范，通过媒体对社会公开，促使财政干部照章办事、秉公理财，有效规范了财政部门的行政行为，实现了阳光操作；规范了部门行为，部门作为预决算公开的主体，强化了预算单位的法治意识，增强了部门预算执行的透明度，防止了暗箱操作、铺张浪费、挤占挪用等违规违纪行为。方便了社会监督，通过公示栏、网络等载体将总预算和各单位部门预算信息广而告之，真正为社会监督开了窗口。由于财政规章制度的及时公开，促使部门领导和财务人员增强依法理财的自觉性，从而规范了财务管理行为，切实为财政监管工作顺畅运行创造了条件。</w:t>
      </w:r>
    </w:p>
    <w:p w14:paraId="3C136B5F">
      <w:pPr>
        <w:pStyle w:val="5"/>
        <w:keepNext w:val="0"/>
        <w:keepLines w:val="0"/>
        <w:widowControl/>
        <w:suppressLineNumbers w:val="0"/>
        <w:spacing w:before="75" w:beforeAutospacing="0" w:after="75" w:afterAutospacing="0"/>
        <w:ind w:left="0" w:right="0" w:firstLine="645"/>
        <w:jc w:val="both"/>
        <w:rPr>
          <w:rFonts w:hint="default" w:ascii="Times New Roman" w:hAnsi="Times New Roman" w:cs="Times New Roman"/>
          <w:sz w:val="21"/>
          <w:szCs w:val="21"/>
        </w:rPr>
      </w:pPr>
      <w:r>
        <w:rPr>
          <w:rFonts w:ascii="MingLiU" w:hAnsi="MingLiU" w:eastAsia="MingLiU" w:cs="MingLiU"/>
          <w:sz w:val="28"/>
          <w:szCs w:val="28"/>
        </w:rPr>
        <w:t> </w:t>
      </w:r>
    </w:p>
    <w:p w14:paraId="69E4F31D">
      <w:pPr>
        <w:pStyle w:val="5"/>
        <w:keepNext w:val="0"/>
        <w:keepLines w:val="0"/>
        <w:widowControl/>
        <w:suppressLineNumbers w:val="0"/>
        <w:spacing w:before="75" w:beforeAutospacing="0" w:after="75" w:afterAutospacing="0" w:line="555" w:lineRule="atLeast"/>
        <w:ind w:left="0" w:right="0"/>
        <w:jc w:val="center"/>
        <w:rPr>
          <w:rFonts w:hint="default" w:ascii="Times New Roman" w:hAnsi="Times New Roman" w:cs="Times New Roman"/>
          <w:sz w:val="21"/>
          <w:szCs w:val="21"/>
        </w:rPr>
      </w:pPr>
    </w:p>
    <w:p w14:paraId="2159CD37">
      <w:pPr>
        <w:rPr>
          <w:rFonts w:hint="eastAsia"/>
          <w:lang w:val="zh-CN" w:eastAsia="zh-CN"/>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MingLiU">
    <w:altName w:val="DejaVu Math TeX Gyre"/>
    <w:panose1 w:val="02020509000000000000"/>
    <w:charset w:val="00"/>
    <w:family w:val="modern"/>
    <w:pitch w:val="default"/>
    <w:sig w:usb0="A00002FF" w:usb1="28CFFCFA" w:usb2="00000016" w:usb3="00000000" w:csb0="001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SSJ0+ZIPCQE-3">
    <w:altName w:val="华文仿宋"/>
    <w:panose1 w:val="00000000000000000000"/>
    <w:charset w:val="00"/>
    <w:family w:val="roman"/>
    <w:pitch w:val="default"/>
    <w:sig w:usb0="00000000" w:usb1="00000000" w:usb2="00000000"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9908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547F29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rect id="文本框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RSimnKAQAAmgMAAA4AAAAAAAAAAQAgAAAAHwEAAGRycy9lMm9E&#10;b2MueG1sUEsFBgAAAAAGAAYAWQEAAFsFAAAAAA==&#10;">
              <v:fill on="f" focussize="0,0"/>
              <v:stroke on="f"/>
              <v:imagedata o:title=""/>
              <o:lock v:ext="edit" aspectratio="f"/>
              <v:textbox inset="0mm,0mm,0mm,0mm" style="mso-fit-shape-to-text:t;">
                <w:txbxContent>
                  <w:p w14:paraId="0547F29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rect>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5A30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NjRhNTVjODQ5NWU3NGNkMzZkNjkzN2YzMWQ1YTAifQ=="/>
  </w:docVars>
  <w:rsids>
    <w:rsidRoot w:val="00172A27"/>
    <w:rsid w:val="5FFDF92D"/>
    <w:rsid w:val="71550120"/>
    <w:rsid w:val="CAAB3DB7"/>
    <w:rsid w:val="FFBE2B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link w:val="9"/>
    <w:uiPriority w:val="0"/>
    <w:pPr>
      <w:shd w:val="clear" w:color="auto" w:fill="FFFFFF"/>
      <w:spacing w:line="600" w:lineRule="exact"/>
      <w:jc w:val="distribute"/>
    </w:pPr>
    <w:rPr>
      <w:rFonts w:ascii="MingLiU" w:eastAsia="MingLiU"/>
      <w:sz w:val="29"/>
      <w:szCs w:val="29"/>
      <w:lang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正文文本_"/>
    <w:basedOn w:val="7"/>
    <w:link w:val="2"/>
    <w:uiPriority w:val="0"/>
    <w:rPr>
      <w:rFonts w:ascii="MingLiU" w:eastAsia="MingLiU"/>
      <w:sz w:val="29"/>
      <w:szCs w:val="29"/>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3</Pages>
  <Words>364</Words>
  <Characters>2077</Characters>
  <Lines>17</Lines>
  <Paragraphs>4</Paragraphs>
  <TotalTime>0</TotalTime>
  <ScaleCrop>false</ScaleCrop>
  <LinksUpToDate>false</LinksUpToDate>
  <CharactersWithSpaces>2437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2015-11-10T02:14:00Z</dcterms:created>
  <dc:creator>Administrator</dc:creator>
  <cp:lastModifiedBy>kylin</cp:lastModifiedBy>
  <cp:lastPrinted>2017-03-17T03:39:01Z</cp:lastPrinted>
  <dcterms:modified xsi:type="dcterms:W3CDTF">2026-04-20T10:56:35Z</dcterms:modified>
  <dc:title>2015年大武口区财政预算决算信息公开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545236FC9BBC79A7E395E569997FAA30_43</vt:lpwstr>
  </property>
</Properties>
</file>