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FDB77">
      <w:pPr>
        <w:jc w:val="left"/>
        <w:rPr>
          <w:rFonts w:hint="eastAsia" w:ascii="黑体" w:hAnsi="黑体" w:eastAsia="黑体" w:cs="黑体"/>
          <w:b w:val="0"/>
          <w:bCs/>
          <w:sz w:val="32"/>
          <w:szCs w:val="32"/>
          <w:highlight w:val="none"/>
          <w:lang w:eastAsia="zh-CN"/>
        </w:rPr>
      </w:pPr>
      <w:r>
        <w:rPr>
          <w:rFonts w:hint="eastAsia" w:ascii="黑体" w:hAnsi="黑体" w:eastAsia="黑体" w:cs="黑体"/>
          <w:b w:val="0"/>
          <w:bCs/>
          <w:sz w:val="32"/>
          <w:szCs w:val="32"/>
          <w:highlight w:val="none"/>
          <w:lang w:eastAsia="zh-CN"/>
        </w:rPr>
        <w:t>附件</w:t>
      </w:r>
      <w:r>
        <w:rPr>
          <w:rFonts w:hint="eastAsia" w:ascii="黑体" w:hAnsi="黑体" w:eastAsia="黑体" w:cs="黑体"/>
          <w:b w:val="0"/>
          <w:bCs/>
          <w:sz w:val="32"/>
          <w:szCs w:val="32"/>
          <w:highlight w:val="none"/>
          <w:lang w:val="en-US" w:eastAsia="zh-CN"/>
        </w:rPr>
        <w:t>1</w:t>
      </w:r>
      <w:r>
        <w:rPr>
          <w:rFonts w:hint="eastAsia" w:ascii="黑体" w:hAnsi="黑体" w:eastAsia="黑体" w:cs="黑体"/>
          <w:b w:val="0"/>
          <w:bCs/>
          <w:sz w:val="32"/>
          <w:szCs w:val="32"/>
          <w:highlight w:val="none"/>
          <w:lang w:eastAsia="zh-CN"/>
        </w:rPr>
        <w:t>：</w:t>
      </w:r>
    </w:p>
    <w:p w14:paraId="4AC90C17">
      <w:pPr>
        <w:jc w:val="center"/>
        <w:rPr>
          <w:rFonts w:hint="eastAsia"/>
          <w:b/>
          <w:sz w:val="44"/>
          <w:szCs w:val="44"/>
          <w:highlight w:val="none"/>
        </w:rPr>
      </w:pPr>
      <w:r>
        <w:rPr>
          <w:rFonts w:hint="eastAsia"/>
          <w:b/>
          <w:sz w:val="44"/>
          <w:szCs w:val="44"/>
          <w:highlight w:val="none"/>
          <w:lang w:eastAsia="zh-CN"/>
        </w:rPr>
        <w:t>石嘴山市大武区自然资源局</w:t>
      </w:r>
      <w:r>
        <w:rPr>
          <w:rFonts w:hint="eastAsia"/>
          <w:b/>
          <w:sz w:val="44"/>
          <w:szCs w:val="44"/>
          <w:highlight w:val="none"/>
        </w:rPr>
        <w:t>行政权力和责任清单</w:t>
      </w:r>
    </w:p>
    <w:p w14:paraId="21361A25">
      <w:pPr>
        <w:jc w:val="center"/>
        <w:rPr>
          <w:rFonts w:hint="eastAsia" w:ascii="方正小标宋_GBK" w:hAnsi="方正小标宋_GBK" w:eastAsia="方正小标宋_GBK" w:cs="方正小标宋_GBK"/>
          <w:sz w:val="36"/>
          <w:szCs w:val="36"/>
          <w:highlight w:val="none"/>
          <w:lang w:val="en-US" w:eastAsia="zh-CN"/>
        </w:rPr>
      </w:pPr>
    </w:p>
    <w:p w14:paraId="285EAF4D">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一、行政许可（19项）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12"/>
        <w:gridCol w:w="600"/>
        <w:gridCol w:w="615"/>
        <w:gridCol w:w="1739"/>
        <w:gridCol w:w="585"/>
        <w:gridCol w:w="1050"/>
        <w:gridCol w:w="2326"/>
        <w:gridCol w:w="1064"/>
        <w:gridCol w:w="2356"/>
        <w:gridCol w:w="1267"/>
        <w:gridCol w:w="3295"/>
      </w:tblGrid>
      <w:tr w14:paraId="719B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451E66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序号</w:t>
            </w:r>
          </w:p>
        </w:tc>
        <w:tc>
          <w:tcPr>
            <w:tcW w:w="612" w:type="dxa"/>
            <w:noWrap w:val="0"/>
            <w:vAlign w:val="center"/>
          </w:tcPr>
          <w:p w14:paraId="509655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w:t>
            </w:r>
          </w:p>
          <w:p w14:paraId="64260D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auto"/>
                <w:highlight w:val="none"/>
              </w:rPr>
            </w:pPr>
            <w:r>
              <w:rPr>
                <w:rFonts w:hint="eastAsia" w:ascii="仿宋_GB2312" w:hAnsi="仿宋_GB2312" w:eastAsia="仿宋_GB2312" w:cs="仿宋_GB2312"/>
                <w:color w:val="auto"/>
                <w:sz w:val="18"/>
                <w:szCs w:val="18"/>
                <w:highlight w:val="none"/>
                <w:vertAlign w:val="baseline"/>
                <w:lang w:val="en-US" w:eastAsia="zh-CN"/>
              </w:rPr>
              <w:t>名称</w:t>
            </w:r>
          </w:p>
        </w:tc>
        <w:tc>
          <w:tcPr>
            <w:tcW w:w="600" w:type="dxa"/>
            <w:noWrap w:val="0"/>
            <w:vAlign w:val="center"/>
          </w:tcPr>
          <w:p w14:paraId="434116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子项</w:t>
            </w:r>
          </w:p>
          <w:p w14:paraId="4B5CEE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名称</w:t>
            </w:r>
          </w:p>
        </w:tc>
        <w:tc>
          <w:tcPr>
            <w:tcW w:w="615" w:type="dxa"/>
            <w:noWrap w:val="0"/>
            <w:vAlign w:val="center"/>
          </w:tcPr>
          <w:p w14:paraId="17A63F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基本编码</w:t>
            </w:r>
          </w:p>
        </w:tc>
        <w:tc>
          <w:tcPr>
            <w:tcW w:w="1739" w:type="dxa"/>
            <w:noWrap w:val="0"/>
            <w:vAlign w:val="center"/>
          </w:tcPr>
          <w:p w14:paraId="49C206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职权依据</w:t>
            </w:r>
          </w:p>
        </w:tc>
        <w:tc>
          <w:tcPr>
            <w:tcW w:w="585" w:type="dxa"/>
            <w:noWrap w:val="0"/>
            <w:vAlign w:val="center"/>
          </w:tcPr>
          <w:p w14:paraId="6FAC15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行使内容</w:t>
            </w:r>
          </w:p>
        </w:tc>
        <w:tc>
          <w:tcPr>
            <w:tcW w:w="1050" w:type="dxa"/>
            <w:noWrap w:val="0"/>
            <w:vAlign w:val="center"/>
          </w:tcPr>
          <w:p w14:paraId="06BB538F">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阶段事项</w:t>
            </w:r>
          </w:p>
        </w:tc>
        <w:tc>
          <w:tcPr>
            <w:tcW w:w="2326" w:type="dxa"/>
            <w:noWrap w:val="0"/>
            <w:vAlign w:val="center"/>
          </w:tcPr>
          <w:p w14:paraId="1F0CF6C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责任事项依据</w:t>
            </w:r>
          </w:p>
        </w:tc>
        <w:tc>
          <w:tcPr>
            <w:tcW w:w="1064" w:type="dxa"/>
            <w:noWrap w:val="0"/>
            <w:vAlign w:val="center"/>
          </w:tcPr>
          <w:p w14:paraId="25CDA4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w:t>
            </w:r>
          </w:p>
        </w:tc>
        <w:tc>
          <w:tcPr>
            <w:tcW w:w="2356" w:type="dxa"/>
            <w:noWrap w:val="0"/>
            <w:vAlign w:val="center"/>
          </w:tcPr>
          <w:p w14:paraId="4A06DD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追责情形依据</w:t>
            </w:r>
          </w:p>
        </w:tc>
        <w:tc>
          <w:tcPr>
            <w:tcW w:w="1267" w:type="dxa"/>
            <w:noWrap w:val="0"/>
            <w:vAlign w:val="center"/>
          </w:tcPr>
          <w:p w14:paraId="10971A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w:t>
            </w:r>
          </w:p>
        </w:tc>
        <w:tc>
          <w:tcPr>
            <w:tcW w:w="3295" w:type="dxa"/>
            <w:noWrap w:val="0"/>
            <w:vAlign w:val="center"/>
          </w:tcPr>
          <w:p w14:paraId="642EFD4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担责方式依据</w:t>
            </w:r>
          </w:p>
        </w:tc>
      </w:tr>
      <w:tr w14:paraId="5927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25028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w:t>
            </w:r>
          </w:p>
        </w:tc>
        <w:tc>
          <w:tcPr>
            <w:tcW w:w="612" w:type="dxa"/>
            <w:noWrap w:val="0"/>
            <w:vAlign w:val="center"/>
          </w:tcPr>
          <w:p w14:paraId="7BDED6B8">
            <w:pPr>
              <w:jc w:val="both"/>
              <w:rPr>
                <w:color w:val="auto"/>
                <w:highlight w:val="none"/>
              </w:rPr>
            </w:pPr>
            <w:r>
              <w:rPr>
                <w:rFonts w:hint="eastAsia" w:ascii="仿宋_GB2312" w:hAnsi="仿宋_GB2312" w:eastAsia="仿宋_GB2312" w:cs="仿宋_GB2312"/>
                <w:bCs/>
                <w:color w:val="auto"/>
                <w:kern w:val="0"/>
                <w:sz w:val="18"/>
                <w:szCs w:val="18"/>
                <w:highlight w:val="none"/>
              </w:rPr>
              <w:t>建设项目用地预审</w:t>
            </w:r>
          </w:p>
        </w:tc>
        <w:tc>
          <w:tcPr>
            <w:tcW w:w="600" w:type="dxa"/>
            <w:noWrap w:val="0"/>
            <w:vAlign w:val="center"/>
          </w:tcPr>
          <w:p w14:paraId="654E56F7">
            <w:pPr>
              <w:jc w:val="both"/>
              <w:rPr>
                <w:rFonts w:hint="default" w:ascii="仿宋_GB2312" w:hAnsi="仿宋_GB2312" w:eastAsia="仿宋_GB2312" w:cs="仿宋_GB2312"/>
                <w:color w:val="auto"/>
                <w:sz w:val="18"/>
                <w:szCs w:val="18"/>
                <w:highlight w:val="none"/>
                <w:vertAlign w:val="baseline"/>
                <w:lang w:val="en-US" w:eastAsia="zh-CN"/>
              </w:rPr>
            </w:pPr>
          </w:p>
        </w:tc>
        <w:tc>
          <w:tcPr>
            <w:tcW w:w="615" w:type="dxa"/>
            <w:noWrap w:val="0"/>
            <w:vAlign w:val="center"/>
          </w:tcPr>
          <w:p w14:paraId="42FE9563">
            <w:pPr>
              <w:jc w:val="center"/>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bCs/>
                <w:color w:val="auto"/>
                <w:kern w:val="0"/>
                <w:sz w:val="18"/>
                <w:szCs w:val="18"/>
                <w:highlight w:val="none"/>
              </w:rPr>
              <w:t>0112015000</w:t>
            </w:r>
          </w:p>
        </w:tc>
        <w:tc>
          <w:tcPr>
            <w:tcW w:w="1739" w:type="dxa"/>
            <w:noWrap w:val="0"/>
            <w:vAlign w:val="center"/>
          </w:tcPr>
          <w:p w14:paraId="3B987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rPr>
              <w:t>中华人民共和国土地管理法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rPr>
              <w:t>(2019修正)</w:t>
            </w:r>
          </w:p>
          <w:p w14:paraId="07D3E1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第五十二条</w:t>
            </w:r>
            <w:bookmarkStart w:id="0" w:name="tiao_52_kuan_1"/>
            <w:bookmarkEnd w:id="0"/>
            <w:r>
              <w:rPr>
                <w:rFonts w:hint="eastAsia" w:ascii="仿宋_GB2312" w:hAnsi="仿宋_GB2312" w:eastAsia="仿宋_GB2312" w:cs="仿宋_GB2312"/>
                <w:color w:val="auto"/>
                <w:sz w:val="18"/>
                <w:szCs w:val="18"/>
                <w:highlight w:val="none"/>
              </w:rPr>
              <w:t>　建设项目可行性研究论证时，自然资源主管部门可以根据土地利用总体规划、土地利用年度计划和建设用地标准，对建设用地有关事项进行审查，并提出意见。</w:t>
            </w:r>
          </w:p>
          <w:p w14:paraId="45142C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【行政法规】《中华人民共和国土地管理法实施条例》（</w:t>
            </w:r>
            <w:r>
              <w:rPr>
                <w:rFonts w:hint="eastAsia" w:ascii="仿宋_GB2312" w:hAnsi="仿宋_GB2312" w:eastAsia="仿宋_GB2312" w:cs="仿宋_GB2312"/>
                <w:color w:val="auto"/>
                <w:sz w:val="18"/>
                <w:szCs w:val="18"/>
                <w:highlight w:val="none"/>
                <w:lang w:eastAsia="zh-CN"/>
              </w:rPr>
              <w:t>2021年7月30日发布</w:t>
            </w:r>
            <w:r>
              <w:rPr>
                <w:rFonts w:hint="eastAsia" w:ascii="仿宋_GB2312" w:hAnsi="仿宋_GB2312" w:eastAsia="仿宋_GB2312" w:cs="仿宋_GB2312"/>
                <w:color w:val="auto"/>
                <w:sz w:val="18"/>
                <w:szCs w:val="18"/>
                <w:highlight w:val="none"/>
              </w:rPr>
              <w:t>）</w:t>
            </w:r>
          </w:p>
          <w:p w14:paraId="3343E4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第二十四条　建设项目确需占用国土空间规划确定的城市和村庄、集镇建设用地范围外的农用地，涉及占用永久基本农田的，由国务院批准；不涉及占用永久基本农田的，由国务院或者国务院授权的省、自治区、直辖市人民政府批准。具体按照下列规定办理：</w:t>
            </w:r>
          </w:p>
          <w:p w14:paraId="29118F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建设项目批准、核准前或者备案前后，由自然资源主管部门对建设项目用地事项进行审查，提出建设项目用地预审意见。建设项目需要申请核发选址意见书的，应当合并办理建设项目用地预审与选址意见书，核发建设项目用地预审与选址意见书。【部门规章】《建设项目用地预审管理办法》（2016年国土资源部令第68号修正）</w:t>
            </w:r>
          </w:p>
          <w:p w14:paraId="54F3AC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第二条 本办法所称建设项目用地预审，是指国土资源主管部门在建设项目审批、核准、备案阶段，依法对建设项目涉及的土地利用事项进行的审查。</w:t>
            </w:r>
          </w:p>
          <w:p w14:paraId="784831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【规范性文件】《宁夏回族自治区建设项目用地预审管理实施细则》（宁国土资规发〔2017〕1号）</w:t>
            </w:r>
          </w:p>
          <w:p w14:paraId="3A5474C1">
            <w:pPr>
              <w:shd w:val="clear" w:color="auto" w:fill="FFFFFF"/>
              <w:adjustRightInd w:val="0"/>
              <w:snapToGrid w:val="0"/>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rPr>
              <w:t>第二条 建设项目用地预审是指国土资源管理部门在建设项目审批、核准、备案阶段，依法对建设项目涉及的土地利用事项进行的审查。</w:t>
            </w:r>
          </w:p>
        </w:tc>
        <w:tc>
          <w:tcPr>
            <w:tcW w:w="585" w:type="dxa"/>
            <w:noWrap w:val="0"/>
            <w:vAlign w:val="center"/>
          </w:tcPr>
          <w:p w14:paraId="72500578">
            <w:pPr>
              <w:jc w:val="both"/>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bCs/>
                <w:color w:val="auto"/>
                <w:kern w:val="0"/>
                <w:sz w:val="18"/>
                <w:szCs w:val="18"/>
                <w:highlight w:val="none"/>
              </w:rPr>
              <w:t>同级预审</w:t>
            </w:r>
          </w:p>
        </w:tc>
        <w:tc>
          <w:tcPr>
            <w:tcW w:w="1050" w:type="dxa"/>
            <w:noWrap w:val="0"/>
            <w:vAlign w:val="center"/>
          </w:tcPr>
          <w:p w14:paraId="27B9C53F">
            <w:pPr>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0669BA2B">
            <w:pPr>
              <w:shd w:val="clear" w:color="auto" w:fill="FFFFFF"/>
              <w:adjustRightInd w:val="0"/>
              <w:snapToGrid w:val="0"/>
              <w:jc w:val="left"/>
              <w:rPr>
                <w:rFonts w:hint="eastAsia" w:ascii="仿宋_GB2312" w:hAnsi="仿宋_GB2312" w:eastAsia="仿宋_GB2312" w:cs="仿宋_GB2312"/>
                <w:color w:val="auto"/>
                <w:kern w:val="0"/>
                <w:sz w:val="18"/>
                <w:szCs w:val="18"/>
                <w:highlight w:val="none"/>
                <w:lang w:bidi="ar"/>
              </w:rPr>
            </w:pPr>
            <w:r>
              <w:rPr>
                <w:rFonts w:hint="eastAsia" w:ascii="仿宋_GB2312" w:hAnsi="仿宋_GB2312" w:eastAsia="仿宋_GB2312" w:cs="仿宋_GB2312"/>
                <w:color w:val="auto"/>
                <w:kern w:val="0"/>
                <w:sz w:val="18"/>
                <w:szCs w:val="18"/>
                <w:highlight w:val="none"/>
                <w:lang w:bidi="ar"/>
              </w:rPr>
              <w:t>2.审查责任：按照土地利用总体规划要求，对书面申请材料进行初审，做出是否同意的意见。 </w:t>
            </w:r>
            <w:r>
              <w:rPr>
                <w:rFonts w:hint="eastAsia" w:ascii="仿宋_GB2312" w:hAnsi="仿宋_GB2312" w:eastAsia="仿宋_GB2312" w:cs="仿宋_GB2312"/>
                <w:color w:val="auto"/>
                <w:kern w:val="0"/>
                <w:sz w:val="18"/>
                <w:szCs w:val="18"/>
                <w:highlight w:val="none"/>
                <w:lang w:bidi="ar"/>
              </w:rPr>
              <w:br w:type="textWrapping"/>
            </w:r>
            <w:r>
              <w:rPr>
                <w:rFonts w:hint="eastAsia" w:ascii="仿宋_GB2312" w:hAnsi="仿宋_GB2312" w:eastAsia="仿宋_GB2312" w:cs="仿宋_GB2312"/>
                <w:color w:val="auto"/>
                <w:kern w:val="0"/>
                <w:sz w:val="18"/>
                <w:szCs w:val="18"/>
                <w:highlight w:val="none"/>
                <w:lang w:bidi="ar"/>
              </w:rPr>
              <w:t>3.上报责任：作出建设项目用地预审上报的决定，不予上报的书面告知理由。</w:t>
            </w:r>
          </w:p>
          <w:p w14:paraId="40F34A1B">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
              </w:rPr>
            </w:pPr>
            <w:r>
              <w:rPr>
                <w:rFonts w:hint="eastAsia" w:ascii="仿宋_GB2312" w:hAnsi="仿宋_GB2312" w:eastAsia="仿宋_GB2312" w:cs="仿宋_GB2312"/>
                <w:color w:val="auto"/>
                <w:kern w:val="0"/>
                <w:sz w:val="18"/>
                <w:szCs w:val="18"/>
                <w:highlight w:val="none"/>
                <w:lang w:bidi="ar"/>
              </w:rPr>
              <w:t>4.送达责任：</w:t>
            </w:r>
            <w:r>
              <w:rPr>
                <w:rFonts w:hint="eastAsia" w:ascii="仿宋_GB2312" w:hAnsi="仿宋_GB2312" w:eastAsia="仿宋_GB2312" w:cs="仿宋_GB2312"/>
                <w:color w:val="auto"/>
                <w:sz w:val="18"/>
                <w:szCs w:val="18"/>
                <w:highlight w:val="none"/>
              </w:rPr>
              <w:t>准予许可的制发送达许可证件，信息公开。</w:t>
            </w:r>
            <w:r>
              <w:rPr>
                <w:rFonts w:hint="eastAsia" w:ascii="仿宋_GB2312" w:hAnsi="仿宋_GB2312" w:eastAsia="仿宋_GB2312" w:cs="仿宋_GB2312"/>
                <w:color w:val="auto"/>
                <w:kern w:val="0"/>
                <w:sz w:val="18"/>
                <w:szCs w:val="18"/>
                <w:highlight w:val="none"/>
                <w:lang w:bidi="ar"/>
              </w:rPr>
              <w:br w:type="textWrapping"/>
            </w:r>
            <w:r>
              <w:rPr>
                <w:rFonts w:hint="eastAsia" w:ascii="仿宋_GB2312" w:hAnsi="仿宋_GB2312" w:eastAsia="仿宋_GB2312" w:cs="仿宋_GB2312"/>
                <w:color w:val="auto"/>
                <w:kern w:val="0"/>
                <w:sz w:val="18"/>
                <w:szCs w:val="18"/>
                <w:highlight w:val="none"/>
                <w:lang w:val="en-US" w:eastAsia="zh-CN" w:bidi="ar"/>
              </w:rPr>
              <w:t>5</w:t>
            </w:r>
            <w:r>
              <w:rPr>
                <w:rFonts w:hint="eastAsia" w:ascii="仿宋_GB2312" w:hAnsi="仿宋_GB2312" w:eastAsia="仿宋_GB2312" w:cs="仿宋_GB2312"/>
                <w:color w:val="auto"/>
                <w:kern w:val="0"/>
                <w:sz w:val="18"/>
                <w:szCs w:val="18"/>
                <w:highlight w:val="none"/>
                <w:lang w:bidi="ar"/>
              </w:rPr>
              <w:t>.事后监管责任：明确建设项目用地预审职责。</w:t>
            </w:r>
            <w:r>
              <w:rPr>
                <w:rFonts w:hint="eastAsia" w:ascii="仿宋_GB2312" w:hAnsi="仿宋_GB2312" w:eastAsia="仿宋_GB2312" w:cs="仿宋_GB2312"/>
                <w:color w:val="auto"/>
                <w:kern w:val="0"/>
                <w:sz w:val="18"/>
                <w:szCs w:val="18"/>
                <w:highlight w:val="none"/>
                <w:lang w:bidi="ar"/>
              </w:rPr>
              <w:br w:type="textWrapping"/>
            </w:r>
            <w:r>
              <w:rPr>
                <w:rFonts w:hint="eastAsia" w:ascii="仿宋_GB2312" w:hAnsi="仿宋_GB2312" w:eastAsia="仿宋_GB2312" w:cs="仿宋_GB2312"/>
                <w:color w:val="auto"/>
                <w:kern w:val="0"/>
                <w:sz w:val="18"/>
                <w:szCs w:val="18"/>
                <w:highlight w:val="none"/>
                <w:lang w:val="en-US" w:eastAsia="zh-CN" w:bidi="ar"/>
              </w:rPr>
              <w:t>6</w:t>
            </w:r>
            <w:r>
              <w:rPr>
                <w:rFonts w:hint="eastAsia" w:ascii="仿宋_GB2312" w:hAnsi="仿宋_GB2312" w:eastAsia="仿宋_GB2312" w:cs="仿宋_GB2312"/>
                <w:color w:val="auto"/>
                <w:kern w:val="0"/>
                <w:sz w:val="18"/>
                <w:szCs w:val="18"/>
                <w:highlight w:val="none"/>
                <w:lang w:bidi="ar"/>
              </w:rPr>
              <w:t>.其他法律法规规章文件规定应履行的责任。</w:t>
            </w:r>
          </w:p>
        </w:tc>
        <w:tc>
          <w:tcPr>
            <w:tcW w:w="2326" w:type="dxa"/>
            <w:noWrap w:val="0"/>
            <w:vAlign w:val="center"/>
          </w:tcPr>
          <w:p w14:paraId="1D348A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B31D238">
            <w:pPr>
              <w:shd w:val="clear" w:color="auto" w:fill="FFFFFF"/>
              <w:adjustRightInd w:val="0"/>
              <w:snapToGrid w:val="0"/>
              <w:jc w:val="left"/>
              <w:rPr>
                <w:rFonts w:hint="eastAsia" w:ascii="仿宋_GB2312" w:hAnsi="仿宋_GB2312" w:eastAsia="仿宋_GB2312" w:cs="仿宋_GB2312"/>
                <w:color w:val="auto"/>
                <w:sz w:val="18"/>
                <w:szCs w:val="18"/>
                <w:highlight w:val="none"/>
                <w:shd w:val="clear" w:color="auto" w:fill="FFFFFF"/>
              </w:rPr>
            </w:pPr>
            <w:r>
              <w:rPr>
                <w:rFonts w:hint="eastAsia" w:ascii="微软雅黑" w:hAnsi="微软雅黑" w:eastAsia="微软雅黑" w:cs="微软雅黑"/>
                <w:color w:val="auto"/>
                <w:sz w:val="24"/>
                <w:highlight w:val="none"/>
                <w:shd w:val="clear" w:color="auto" w:fill="FFFFFF"/>
              </w:rPr>
              <w:t xml:space="preserve">  </w:t>
            </w:r>
            <w:r>
              <w:rPr>
                <w:rFonts w:hint="eastAsia" w:ascii="仿宋_GB2312" w:hAnsi="仿宋_GB2312" w:eastAsia="仿宋_GB2312" w:cs="仿宋_GB2312"/>
                <w:color w:val="auto"/>
                <w:sz w:val="18"/>
                <w:szCs w:val="18"/>
                <w:highlight w:val="none"/>
                <w:shd w:val="clear" w:color="auto" w:fill="FFFFFF"/>
              </w:rPr>
              <w:t>2.《建设用地预审管理办法》第三条预审应当遵循下列原则：（一）符合土地利用总体规划；（二）保护耕地，特别是基本农田；（三）合理和集约节约利用土地（四）符合国家供地政策、第十一条预审应当审查以下内容：（一）建设项目选址是否符合土地利用总体规划，是否符合国家供地政策和土地管理法律、法规规定的条件；（二）建设项目用地规模是否符合有关建设用地指标的规定；（三）建设项目占用耕地的，补充耕地初步方案是否可行；（四）征地补偿费用和矿山项目复垦资金的拟安排情况；（五）属《</w:t>
            </w:r>
            <w:r>
              <w:rPr>
                <w:rFonts w:hint="eastAsia" w:ascii="仿宋_GB2312" w:hAnsi="仿宋_GB2312" w:eastAsia="仿宋_GB2312" w:cs="仿宋_GB2312"/>
                <w:color w:val="auto"/>
                <w:sz w:val="18"/>
                <w:szCs w:val="18"/>
                <w:highlight w:val="none"/>
                <w:shd w:val="clear" w:color="auto" w:fill="FFFFFF"/>
                <w:lang w:eastAsia="zh-CN"/>
              </w:rPr>
              <w:t>中华人民共和国</w:t>
            </w:r>
            <w:r>
              <w:rPr>
                <w:rFonts w:hint="eastAsia" w:ascii="仿宋_GB2312" w:hAnsi="仿宋_GB2312" w:eastAsia="仿宋_GB2312" w:cs="仿宋_GB2312"/>
                <w:color w:val="auto"/>
                <w:sz w:val="18"/>
                <w:szCs w:val="18"/>
                <w:highlight w:val="none"/>
                <w:shd w:val="clear" w:color="auto" w:fill="FFFFFF"/>
              </w:rPr>
              <w:t>土地管理法》第二十六条规定情形，建设项目用地需修改土地利用总体规划的，规划的修改方案、规划修改对规划实施影响评估报告等是否符合法律、法规的规定。      </w:t>
            </w:r>
            <w:r>
              <w:rPr>
                <w:rFonts w:hint="eastAsia" w:ascii="仿宋_GB2312" w:hAnsi="仿宋_GB2312" w:eastAsia="仿宋_GB2312" w:cs="仿宋_GB2312"/>
                <w:color w:val="auto"/>
                <w:sz w:val="18"/>
                <w:szCs w:val="18"/>
                <w:highlight w:val="none"/>
                <w:shd w:val="clear" w:color="auto" w:fill="FFFFFF"/>
              </w:rPr>
              <w:br w:type="textWrapping"/>
            </w:r>
            <w:r>
              <w:rPr>
                <w:rFonts w:hint="eastAsia" w:ascii="仿宋_GB2312" w:hAnsi="仿宋_GB2312" w:eastAsia="仿宋_GB2312" w:cs="仿宋_GB2312"/>
                <w:color w:val="auto"/>
                <w:sz w:val="18"/>
                <w:szCs w:val="18"/>
                <w:highlight w:val="none"/>
                <w:shd w:val="clear" w:color="auto" w:fill="FFFFFF"/>
              </w:rPr>
              <w:t>  3.《建设用地预审管理办法》第十二条 国土资源管理部门应当自受理预审申请或者收到转报材料之日起二十日内，完成审查工作，并出具预审意见。二十日内不能出具预审意见的，经负责预审的国土资源管理部门负责人批准，可以延长十日。        </w:t>
            </w:r>
            <w:r>
              <w:rPr>
                <w:rFonts w:hint="eastAsia" w:ascii="仿宋_GB2312" w:hAnsi="仿宋_GB2312" w:eastAsia="仿宋_GB2312" w:cs="仿宋_GB2312"/>
                <w:color w:val="auto"/>
                <w:sz w:val="18"/>
                <w:szCs w:val="18"/>
                <w:highlight w:val="none"/>
                <w:shd w:val="clear" w:color="auto" w:fill="FFFFFF"/>
              </w:rPr>
              <w:br w:type="textWrapping"/>
            </w:r>
            <w:r>
              <w:rPr>
                <w:rFonts w:hint="eastAsia" w:ascii="仿宋_GB2312" w:hAnsi="仿宋_GB2312" w:eastAsia="仿宋_GB2312" w:cs="仿宋_GB2312"/>
                <w:color w:val="auto"/>
                <w:sz w:val="18"/>
                <w:szCs w:val="18"/>
                <w:highlight w:val="none"/>
                <w:shd w:val="clear" w:color="auto" w:fill="FFFFFF"/>
              </w:rPr>
              <w:t>  4.</w:t>
            </w:r>
            <w:r>
              <w:rPr>
                <w:rFonts w:hint="eastAsia" w:ascii="仿宋_GB2312" w:hAnsi="仿宋_GB2312" w:eastAsia="仿宋_GB2312" w:cs="仿宋_GB2312"/>
                <w:color w:val="auto"/>
                <w:sz w:val="18"/>
                <w:szCs w:val="18"/>
                <w:highlight w:val="none"/>
                <w:shd w:val="clear" w:color="auto" w:fill="FFFFFF"/>
                <w:lang w:eastAsia="zh-CN"/>
              </w:rPr>
              <w:t>《中华人民共和国行政许可法》</w:t>
            </w:r>
            <w:r>
              <w:rPr>
                <w:rFonts w:hint="eastAsia" w:ascii="仿宋_GB2312" w:hAnsi="仿宋_GB2312" w:eastAsia="仿宋_GB2312" w:cs="仿宋_GB2312"/>
                <w:color w:val="auto"/>
                <w:sz w:val="18"/>
                <w:szCs w:val="18"/>
                <w:highlight w:val="none"/>
                <w:shd w:val="clear" w:color="auto" w:fill="FFFFFF"/>
              </w:rPr>
              <w:t>第四十四条”行政机关作出准予行政许可决定，应当自作出决定之日起十日内向申请人颁发、送达行政许可批复。</w:t>
            </w:r>
          </w:p>
          <w:p w14:paraId="400E7C06">
            <w:pPr>
              <w:shd w:val="clear" w:color="auto" w:fill="FFFFFF"/>
              <w:adjustRightInd w:val="0"/>
              <w:snapToGrid w:val="0"/>
              <w:jc w:val="left"/>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shd w:val="clear" w:color="auto" w:fill="FFFFFF"/>
              </w:rPr>
              <w:t>5</w:t>
            </w:r>
            <w:r>
              <w:rPr>
                <w:rFonts w:hint="eastAsia" w:ascii="仿宋_GB2312" w:hAnsi="仿宋_GB2312" w:eastAsia="仿宋_GB2312" w:cs="仿宋_GB2312"/>
                <w:color w:val="auto"/>
                <w:sz w:val="18"/>
                <w:szCs w:val="18"/>
                <w:highlight w:val="none"/>
                <w:shd w:val="clear" w:color="auto" w:fill="FFFFFF"/>
                <w:lang w:eastAsia="zh-CN"/>
              </w:rPr>
              <w:t>《中华人民共和国行政许可法》</w:t>
            </w:r>
            <w:r>
              <w:rPr>
                <w:rFonts w:hint="eastAsia" w:ascii="仿宋_GB2312" w:hAnsi="仿宋_GB2312" w:eastAsia="仿宋_GB2312" w:cs="仿宋_GB2312"/>
                <w:color w:val="auto"/>
                <w:sz w:val="18"/>
                <w:szCs w:val="18"/>
                <w:highlight w:val="none"/>
                <w:shd w:val="clear" w:color="auto" w:fill="FFFFFF"/>
              </w:rPr>
              <w:t>第六十一条</w:t>
            </w:r>
            <w:r>
              <w:rPr>
                <w:rFonts w:hint="eastAsia" w:ascii="仿宋_GB2312" w:hAnsi="仿宋_GB2312" w:eastAsia="仿宋_GB2312" w:cs="仿宋_GB2312"/>
                <w:color w:val="auto"/>
                <w:sz w:val="18"/>
                <w:szCs w:val="18"/>
                <w:highlight w:val="none"/>
              </w:rPr>
              <w:t>“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14A274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E13AE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3D691A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34238F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265A3C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5489BE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505658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4B16D13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64E7F2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105EC0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7487E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34DACB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3CF8E8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538FDE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6A9A13DD">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09AAC5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FBB5D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E0B15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398AB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55F2C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32A4CF7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40533082">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892266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F0473F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F09A138">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w:t>
            </w:r>
            <w:r>
              <w:rPr>
                <w:rFonts w:hint="eastAsia" w:ascii="仿宋_GB2312" w:hAnsi="仿宋_GB2312" w:eastAsia="仿宋_GB2312" w:cs="仿宋_GB2312"/>
                <w:color w:val="auto"/>
                <w:sz w:val="18"/>
                <w:szCs w:val="18"/>
                <w:highlight w:val="none"/>
                <w:lang w:val="en-US" w:eastAsia="zh-CN"/>
              </w:rPr>
              <w:t>（一）对行政机关的责任追究方式为：责令限期整改、通报批评、取消评比先进的资格等；</w:t>
            </w:r>
          </w:p>
          <w:p w14:paraId="404C75F1">
            <w:pPr>
              <w:shd w:val="clear" w:color="auto" w:fill="FFFFFF"/>
              <w:adjustRightInd w:val="0"/>
              <w:snapToGrid w:val="0"/>
              <w:jc w:val="both"/>
              <w:rPr>
                <w:rFonts w:hint="eastAsia" w:ascii="仿宋_GB2312" w:hAnsi="仿宋_GB2312" w:eastAsia="仿宋_GB2312" w:cs="仿宋_GB2312"/>
                <w:color w:val="auto"/>
                <w:sz w:val="18"/>
                <w:szCs w:val="18"/>
                <w:highlight w:val="none"/>
              </w:rPr>
            </w:pPr>
            <w:bookmarkStart w:id="1" w:name="tiao_115_kuan_1_xiang_2"/>
            <w:bookmarkEnd w:id="1"/>
            <w:r>
              <w:rPr>
                <w:rFonts w:hint="eastAsia" w:ascii="仿宋_GB2312" w:hAnsi="仿宋_GB2312" w:eastAsia="仿宋_GB2312" w:cs="仿宋_GB2312"/>
                <w:color w:val="auto"/>
                <w:sz w:val="18"/>
                <w:szCs w:val="18"/>
                <w:highlight w:val="none"/>
                <w:lang w:val="en-US" w:eastAsia="zh-CN"/>
              </w:rPr>
              <w:t>　　（二）对行政机关审核人和批准人的责任追究方式为：诫勉谈话、责令限期整改、责令作出书面检查、责令公开道歉、取消年度评比先进资格、通报批评、责令停职反省或者责令辞职、建议免职以及处分；</w:t>
            </w:r>
          </w:p>
          <w:p w14:paraId="4968327E">
            <w:pPr>
              <w:shd w:val="clear" w:color="auto" w:fill="FFFFFF"/>
              <w:adjustRightInd w:val="0"/>
              <w:snapToGrid w:val="0"/>
              <w:jc w:val="both"/>
              <w:rPr>
                <w:rFonts w:hint="eastAsia" w:ascii="仿宋_GB2312" w:hAnsi="仿宋_GB2312" w:eastAsia="仿宋_GB2312" w:cs="仿宋_GB2312"/>
                <w:color w:val="auto"/>
                <w:sz w:val="18"/>
                <w:szCs w:val="18"/>
                <w:highlight w:val="none"/>
              </w:rPr>
            </w:pPr>
            <w:bookmarkStart w:id="2" w:name="tiao_115_kuan_1_xiang_3"/>
            <w:bookmarkEnd w:id="2"/>
            <w:r>
              <w:rPr>
                <w:rFonts w:hint="eastAsia" w:ascii="仿宋_GB2312" w:hAnsi="仿宋_GB2312" w:eastAsia="仿宋_GB2312" w:cs="仿宋_GB2312"/>
                <w:color w:val="auto"/>
                <w:sz w:val="18"/>
                <w:szCs w:val="18"/>
                <w:highlight w:val="none"/>
                <w:lang w:val="en-US" w:eastAsia="zh-CN"/>
              </w:rPr>
              <w:t>　　（三）对行政机关行政行为的具体承办人的责任追究方式为：责令作出书面检查、批评教育、取消年度评比先进资格、暂扣行政执法证件、离岗培训、调离工作岗位、取消行政执法资格以及处分等。</w:t>
            </w:r>
          </w:p>
          <w:p w14:paraId="762E9540">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420EA3E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F9D3E3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62ECAB9">
            <w:pPr>
              <w:shd w:val="clear" w:color="auto" w:fill="FFFFFF"/>
              <w:adjustRightInd w:val="0"/>
              <w:snapToGrid w:val="0"/>
              <w:jc w:val="both"/>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6045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2B0992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2</w:t>
            </w:r>
          </w:p>
        </w:tc>
        <w:tc>
          <w:tcPr>
            <w:tcW w:w="612" w:type="dxa"/>
            <w:noWrap w:val="0"/>
            <w:vAlign w:val="center"/>
          </w:tcPr>
          <w:p w14:paraId="2826DF31">
            <w:pPr>
              <w:widowControl/>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在自然保护区开展相关活动审批</w:t>
            </w:r>
          </w:p>
        </w:tc>
        <w:tc>
          <w:tcPr>
            <w:tcW w:w="600" w:type="dxa"/>
            <w:noWrap w:val="0"/>
            <w:vAlign w:val="center"/>
          </w:tcPr>
          <w:p w14:paraId="312A7D7A">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地方级自然保护区的设立、调整审核</w:t>
            </w:r>
          </w:p>
        </w:tc>
        <w:tc>
          <w:tcPr>
            <w:tcW w:w="615" w:type="dxa"/>
            <w:noWrap w:val="0"/>
            <w:vAlign w:val="center"/>
          </w:tcPr>
          <w:p w14:paraId="74D386BF">
            <w:pPr>
              <w:widowControl/>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0113007001</w:t>
            </w:r>
          </w:p>
        </w:tc>
        <w:tc>
          <w:tcPr>
            <w:tcW w:w="1739" w:type="dxa"/>
            <w:noWrap w:val="0"/>
            <w:vAlign w:val="center"/>
          </w:tcPr>
          <w:p w14:paraId="46F51D87">
            <w:pPr>
              <w:widowControl/>
              <w:shd w:val="clear" w:color="auto" w:fill="FFFFFF"/>
              <w:adjustRightInd w:val="0"/>
              <w:snapToGrid w:val="0"/>
              <w:spacing w:line="270" w:lineRule="exact"/>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【行政法规】《中华人民共和国自然保护区条例》（2017年国务院令第687号修订）</w:t>
            </w:r>
          </w:p>
          <w:p w14:paraId="422B5AAB">
            <w:pPr>
              <w:widowControl/>
              <w:shd w:val="clear" w:color="auto" w:fill="FFFFFF"/>
              <w:adjustRightInd w:val="0"/>
              <w:snapToGrid w:val="0"/>
              <w:spacing w:line="270" w:lineRule="exact"/>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第十二条第二款 地方级自然保护区的建立，由自然保护区所在的县、自治县、市、自治州人民政府或者省、自治区、直辖市人民政府有关自然保护区行政主管部门提出申请，经地方级自然保护区评审委员会评审后，由省、自治区、直辖市人民政府环境保护行政主管部门进行协调并提出审批建议，报省、自治区、直辖市人民政府批准，并报国务院环境保护行政主管部门和国务院有关自然保护区行政主管部门备案。</w:t>
            </w:r>
          </w:p>
          <w:p w14:paraId="39AF3DDF">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kern w:val="0"/>
                <w:sz w:val="18"/>
                <w:szCs w:val="18"/>
                <w:highlight w:val="none"/>
              </w:rPr>
              <w:t>第十五条第一款 自然保护区的撤销及其性质、范围、界线的调整或者改变，应当经原批准建立自然保护区的人民政府批准。</w:t>
            </w:r>
          </w:p>
        </w:tc>
        <w:tc>
          <w:tcPr>
            <w:tcW w:w="585" w:type="dxa"/>
            <w:noWrap w:val="0"/>
            <w:vAlign w:val="center"/>
          </w:tcPr>
          <w:p w14:paraId="7DE6A869">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地方级自然保护区的建立，提出申请</w:t>
            </w:r>
          </w:p>
        </w:tc>
        <w:tc>
          <w:tcPr>
            <w:tcW w:w="1050" w:type="dxa"/>
            <w:noWrap w:val="0"/>
            <w:vAlign w:val="center"/>
          </w:tcPr>
          <w:p w14:paraId="344AAC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5688CE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2AAE15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7D5735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767B2D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0290DBEB">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3CE476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70CFC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059627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68ED4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6C80DB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4F5BB6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D6FAF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61DEA41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4787DF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0AF88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0C6D0D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2BF1A4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21D85A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1F1878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324CF7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352490D0">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6E0E81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4A7013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532E5C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6221FF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2D405F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49A1A9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138645E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41F948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8A2C3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D5B54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CA12F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3D958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06580D5C">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1E60A7DF">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262396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BB635B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5DAFC3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E50EFB8">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CA3A3E8">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A46915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2E9CA3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36E5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dxa"/>
            <w:noWrap w:val="0"/>
            <w:vAlign w:val="center"/>
          </w:tcPr>
          <w:p w14:paraId="354710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3</w:t>
            </w:r>
          </w:p>
        </w:tc>
        <w:tc>
          <w:tcPr>
            <w:tcW w:w="612" w:type="dxa"/>
            <w:noWrap w:val="0"/>
            <w:vAlign w:val="center"/>
          </w:tcPr>
          <w:p w14:paraId="6E968D9A">
            <w:pPr>
              <w:adjustRightInd w:val="0"/>
              <w:snapToGrid w:val="0"/>
              <w:rPr>
                <w:rFonts w:hint="eastAsia" w:ascii="仿宋_GB2312" w:hAnsi="仿宋_GB2312" w:eastAsia="仿宋_GB2312" w:cs="仿宋_GB2312"/>
                <w:bCs/>
                <w:color w:val="auto"/>
                <w:spacing w:val="-11"/>
                <w:kern w:val="2"/>
                <w:position w:val="6"/>
                <w:sz w:val="18"/>
                <w:szCs w:val="18"/>
                <w:highlight w:val="none"/>
                <w:lang w:val="en-US" w:eastAsia="zh-CN" w:bidi="ar-SA"/>
              </w:rPr>
            </w:pPr>
            <w:r>
              <w:rPr>
                <w:rFonts w:hint="eastAsia" w:ascii="仿宋_GB2312" w:hAnsi="仿宋_GB2312" w:eastAsia="仿宋_GB2312" w:cs="仿宋_GB2312"/>
                <w:bCs/>
                <w:color w:val="auto"/>
                <w:sz w:val="18"/>
                <w:szCs w:val="18"/>
                <w:highlight w:val="none"/>
              </w:rPr>
              <w:t>临时占用城市绿化用地审批</w:t>
            </w:r>
          </w:p>
        </w:tc>
        <w:tc>
          <w:tcPr>
            <w:tcW w:w="600" w:type="dxa"/>
            <w:noWrap w:val="0"/>
            <w:vAlign w:val="center"/>
          </w:tcPr>
          <w:p w14:paraId="6A06AEF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57EA38EF">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0114036000</w:t>
            </w:r>
          </w:p>
        </w:tc>
        <w:tc>
          <w:tcPr>
            <w:tcW w:w="1739" w:type="dxa"/>
            <w:noWrap w:val="0"/>
            <w:vAlign w:val="center"/>
          </w:tcPr>
          <w:p w14:paraId="1B47DCA7">
            <w:pPr>
              <w:adjustRightInd w:val="0"/>
              <w:snapToGrid w:val="0"/>
              <w:spacing w:line="27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【行政法规】《城市绿化条例》（2017年国务院令第676号修订）</w:t>
            </w:r>
          </w:p>
          <w:p w14:paraId="47AAD63A">
            <w:pPr>
              <w:adjustRightInd w:val="0"/>
              <w:snapToGrid w:val="0"/>
              <w:spacing w:line="27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第十九条任何单位和个人都不得擅自占用城市绿化用地；占用的城市绿化用地，应当限期归还。</w:t>
            </w:r>
          </w:p>
          <w:p w14:paraId="7F8B38FE">
            <w:pPr>
              <w:adjustRightInd w:val="0"/>
              <w:snapToGrid w:val="0"/>
              <w:spacing w:line="27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因建设或者其他特殊需要临时占用城市绿化用地，须经城市人民政府城市绿化行政主管部门同意，并按照有关规定办理临时用地手续。</w:t>
            </w:r>
          </w:p>
          <w:p w14:paraId="09246AB5">
            <w:pPr>
              <w:adjustRightInd w:val="0"/>
              <w:snapToGrid w:val="0"/>
              <w:ind w:firstLine="360" w:firstLineChars="20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第二十一条在城市的公共绿地内开设商业、服务摊点的，应当持工商行政管理部门批准的营业执照，在公共绿地管理单位指定的地点从事经营活动，并遵守公共绿地和工商行政管理的规定。</w:t>
            </w:r>
          </w:p>
        </w:tc>
        <w:tc>
          <w:tcPr>
            <w:tcW w:w="585" w:type="dxa"/>
            <w:noWrap w:val="0"/>
            <w:vAlign w:val="center"/>
          </w:tcPr>
          <w:p w14:paraId="5DB4A742">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临时占用城市绿化用地审批</w:t>
            </w:r>
          </w:p>
        </w:tc>
        <w:tc>
          <w:tcPr>
            <w:tcW w:w="1050" w:type="dxa"/>
            <w:noWrap w:val="0"/>
            <w:vAlign w:val="center"/>
          </w:tcPr>
          <w:p w14:paraId="6F09B5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34E0FB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4642C3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081DEA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1F0BE28F">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77FA6A77">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0FEEFA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CCD41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714E94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0842E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2477BB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0009E4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C4AB9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2303416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16ED63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8B23D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3C26EE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4EA489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5EB240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39AFB4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5B5502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4F5FBDF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5946C9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41ECEF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41EC52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6F9187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5E7C39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594169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3312B07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631CBA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DD021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E01F3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15065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46D09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4233F5B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13A969CE">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D1330F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6A8DA3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55FCE1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890A000">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3B04EE2">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818CA8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0FFB79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5EFE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681EAC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4</w:t>
            </w:r>
          </w:p>
        </w:tc>
        <w:tc>
          <w:tcPr>
            <w:tcW w:w="612" w:type="dxa"/>
            <w:noWrap w:val="0"/>
            <w:vAlign w:val="center"/>
          </w:tcPr>
          <w:p w14:paraId="7A47E0F6">
            <w:pPr>
              <w:widowControl/>
              <w:adjustRightInd w:val="0"/>
              <w:snapToGrid w:val="0"/>
              <w:rPr>
                <w:rFonts w:hint="eastAsia" w:ascii="仿宋_GB2312" w:hAnsi="仿宋_GB2312" w:eastAsia="仿宋_GB2312" w:cs="仿宋_GB2312"/>
                <w:bCs/>
                <w:color w:val="auto"/>
                <w:spacing w:val="-11"/>
                <w:kern w:val="2"/>
                <w:position w:val="6"/>
                <w:sz w:val="18"/>
                <w:szCs w:val="18"/>
                <w:highlight w:val="none"/>
                <w:lang w:val="en-US" w:eastAsia="zh-CN" w:bidi="ar-SA"/>
              </w:rPr>
            </w:pPr>
            <w:r>
              <w:rPr>
                <w:rFonts w:hint="eastAsia" w:ascii="仿宋_GB2312" w:hAnsi="仿宋_GB2312" w:eastAsia="仿宋_GB2312" w:cs="仿宋_GB2312"/>
                <w:bCs/>
                <w:color w:val="auto"/>
                <w:sz w:val="18"/>
                <w:szCs w:val="18"/>
                <w:highlight w:val="none"/>
              </w:rPr>
              <w:t>改变绿化规划、绿化用地的使用性质审批</w:t>
            </w:r>
          </w:p>
        </w:tc>
        <w:tc>
          <w:tcPr>
            <w:tcW w:w="600" w:type="dxa"/>
            <w:noWrap w:val="0"/>
            <w:vAlign w:val="center"/>
          </w:tcPr>
          <w:p w14:paraId="73D93E3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15996840">
            <w:pPr>
              <w:widowControl/>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0114037000</w:t>
            </w:r>
          </w:p>
        </w:tc>
        <w:tc>
          <w:tcPr>
            <w:tcW w:w="1739" w:type="dxa"/>
            <w:noWrap w:val="0"/>
            <w:vAlign w:val="center"/>
          </w:tcPr>
          <w:p w14:paraId="096A5FFB">
            <w:pPr>
              <w:adjustRightInd w:val="0"/>
              <w:snapToGrid w:val="0"/>
              <w:spacing w:line="27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【国务院决定】《国务院对确需保留的行政审批项目设定行政许可的决定》（2016年国务院令第671号修改）</w:t>
            </w:r>
          </w:p>
          <w:p w14:paraId="02ACB053">
            <w:pPr>
              <w:adjustRightInd w:val="0"/>
              <w:snapToGrid w:val="0"/>
              <w:ind w:firstLine="360" w:firstLineChars="20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附件第107项改变绿化规划、绿化用地的使用性质审批,实施机关：城市人民政府绿化行政主管部门。</w:t>
            </w:r>
          </w:p>
        </w:tc>
        <w:tc>
          <w:tcPr>
            <w:tcW w:w="585" w:type="dxa"/>
            <w:noWrap w:val="0"/>
            <w:vAlign w:val="center"/>
          </w:tcPr>
          <w:p w14:paraId="419BEA47">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改变绿化规划绿化用地的使用性质审批</w:t>
            </w:r>
          </w:p>
        </w:tc>
        <w:tc>
          <w:tcPr>
            <w:tcW w:w="1050" w:type="dxa"/>
            <w:noWrap w:val="0"/>
            <w:vAlign w:val="center"/>
          </w:tcPr>
          <w:p w14:paraId="321392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56DBBB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2B504F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46659A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49994D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346EE82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750F01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3FA7B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34B7B3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26E5C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49CBB5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23237E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26C7A4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4854549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6140CA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A0C7F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213B40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290686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74B5D8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40962E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54E33F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4AA9F23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1E2A7A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4B3C0B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3D98A6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71FEE8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50496E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1F03AD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001EA4A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4654B3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FA28E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F441F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9F47D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89B6F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268F909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1C4FCC07">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8170BB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E3D343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278197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17A5CB6">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FA0715D">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4AB8D7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3897D4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131C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62990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5</w:t>
            </w:r>
          </w:p>
        </w:tc>
        <w:tc>
          <w:tcPr>
            <w:tcW w:w="612" w:type="dxa"/>
            <w:noWrap w:val="0"/>
            <w:vAlign w:val="center"/>
          </w:tcPr>
          <w:p w14:paraId="03B4DE34">
            <w:pPr>
              <w:adjustRightInd w:val="0"/>
              <w:snapToGrid w:val="0"/>
              <w:rPr>
                <w:rFonts w:hint="eastAsia" w:ascii="仿宋_GB2312" w:hAnsi="仿宋_GB2312" w:eastAsia="仿宋_GB2312" w:cs="仿宋_GB2312"/>
                <w:bCs/>
                <w:color w:val="auto"/>
                <w:kern w:val="0"/>
                <w:position w:val="-8"/>
                <w:sz w:val="18"/>
                <w:szCs w:val="18"/>
                <w:highlight w:val="none"/>
                <w:lang w:val="en-US" w:eastAsia="zh-CN" w:bidi="ar-SA"/>
              </w:rPr>
            </w:pPr>
            <w:r>
              <w:rPr>
                <w:rFonts w:hint="eastAsia" w:ascii="仿宋_GB2312" w:hAnsi="仿宋_GB2312" w:eastAsia="仿宋_GB2312" w:cs="仿宋_GB2312"/>
                <w:bCs/>
                <w:color w:val="auto"/>
                <w:sz w:val="18"/>
                <w:szCs w:val="18"/>
                <w:highlight w:val="none"/>
              </w:rPr>
              <w:t>砍伐城市树木审批</w:t>
            </w:r>
          </w:p>
        </w:tc>
        <w:tc>
          <w:tcPr>
            <w:tcW w:w="600" w:type="dxa"/>
            <w:noWrap w:val="0"/>
            <w:vAlign w:val="center"/>
          </w:tcPr>
          <w:p w14:paraId="355E90F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699DB9CB">
            <w:pPr>
              <w:adjustRightInd w:val="0"/>
              <w:snapToGrid w:val="0"/>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rPr>
              <w:t>0114038000</w:t>
            </w:r>
          </w:p>
        </w:tc>
        <w:tc>
          <w:tcPr>
            <w:tcW w:w="1739" w:type="dxa"/>
            <w:noWrap w:val="0"/>
            <w:vAlign w:val="center"/>
          </w:tcPr>
          <w:p w14:paraId="4E28256F">
            <w:pPr>
              <w:adjustRightInd w:val="0"/>
              <w:snapToGrid w:val="0"/>
              <w:spacing w:line="27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【行政法规】《城市绿化条例》（2017年国务院令第676号修订）</w:t>
            </w:r>
          </w:p>
          <w:p w14:paraId="4C522464">
            <w:pPr>
              <w:adjustRightInd w:val="0"/>
              <w:snapToGrid w:val="0"/>
              <w:spacing w:line="27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第二十条任何单位和个人都不得损坏城市树木花草和绿化设施。</w:t>
            </w:r>
          </w:p>
          <w:p w14:paraId="7330BEF2">
            <w:pPr>
              <w:adjustRightInd w:val="0"/>
              <w:snapToGrid w:val="0"/>
              <w:ind w:firstLine="360" w:firstLineChars="200"/>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rPr>
              <w:t>砍伐城市树木，必须经城市人民政府城市绿化行政主管部门批准，并按照国家有关规定补植树木或者采取其他补救措施。</w:t>
            </w:r>
          </w:p>
        </w:tc>
        <w:tc>
          <w:tcPr>
            <w:tcW w:w="585" w:type="dxa"/>
            <w:noWrap w:val="0"/>
            <w:vAlign w:val="center"/>
          </w:tcPr>
          <w:p w14:paraId="342C4DBF">
            <w:pPr>
              <w:adjustRightInd w:val="0"/>
              <w:snapToGrid w:val="0"/>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rPr>
              <w:t>砍伐城市树木审批</w:t>
            </w:r>
          </w:p>
        </w:tc>
        <w:tc>
          <w:tcPr>
            <w:tcW w:w="1050" w:type="dxa"/>
            <w:noWrap w:val="0"/>
            <w:vAlign w:val="center"/>
          </w:tcPr>
          <w:p w14:paraId="72A006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18BAD7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15ECB3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4F2BD7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184B27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64983D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0AA0703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22590A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A8611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647022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124E7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6BB130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686640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6BFEF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739D122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6E3092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EE42D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10082E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3DEA76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3BEB20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411638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64EC07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25707A1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0AAD38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5CBE83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192BA1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4FA4AA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47EB0B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48CDDB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47C8571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51415A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24E5A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4F250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17CEC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F4339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612A95B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68CCC8B1">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5AECA4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2DAA91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B8E4DD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62CBF87">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BA0C42C">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AC406B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1477E1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4B8D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18CB6F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6</w:t>
            </w:r>
          </w:p>
        </w:tc>
        <w:tc>
          <w:tcPr>
            <w:tcW w:w="612" w:type="dxa"/>
            <w:noWrap w:val="0"/>
            <w:vAlign w:val="center"/>
          </w:tcPr>
          <w:p w14:paraId="0145838A">
            <w:pPr>
              <w:autoSpaceDE w:val="0"/>
              <w:autoSpaceDN w:val="0"/>
              <w:adjustRightInd w:val="0"/>
              <w:snapToGrid w:val="0"/>
              <w:jc w:val="left"/>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迁移古树名木审批</w:t>
            </w:r>
          </w:p>
        </w:tc>
        <w:tc>
          <w:tcPr>
            <w:tcW w:w="600" w:type="dxa"/>
            <w:noWrap w:val="0"/>
            <w:vAlign w:val="center"/>
          </w:tcPr>
          <w:p w14:paraId="002FC50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39136B7F">
            <w:pPr>
              <w:autoSpaceDE w:val="0"/>
              <w:autoSpaceDN w:val="0"/>
              <w:adjustRightInd w:val="0"/>
              <w:snapToGrid w:val="0"/>
              <w:jc w:val="left"/>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rPr>
              <w:t>0114039000</w:t>
            </w:r>
          </w:p>
        </w:tc>
        <w:tc>
          <w:tcPr>
            <w:tcW w:w="1739" w:type="dxa"/>
            <w:noWrap w:val="0"/>
            <w:vAlign w:val="center"/>
          </w:tcPr>
          <w:p w14:paraId="34E9AFCC">
            <w:pPr>
              <w:adjustRightInd w:val="0"/>
              <w:snapToGrid w:val="0"/>
              <w:spacing w:line="270" w:lineRule="exact"/>
              <w:ind w:firstLine="360" w:firstLineChars="200"/>
              <w:jc w:val="left"/>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【行政法规】《城市绿化条例》（2017年国务院令第676号修订）</w:t>
            </w:r>
          </w:p>
          <w:p w14:paraId="55194F50">
            <w:pPr>
              <w:autoSpaceDE w:val="0"/>
              <w:autoSpaceDN w:val="0"/>
              <w:adjustRightInd w:val="0"/>
              <w:snapToGrid w:val="0"/>
              <w:ind w:firstLine="360" w:firstLineChars="200"/>
              <w:jc w:val="left"/>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第二十四条严禁砍伐或者迁移古树名木。因特殊需要迁移古树名木，必须经城市人民政府城市绿化行政主管部门审查同意，并报同级或者上级人民政府批准。</w:t>
            </w:r>
          </w:p>
        </w:tc>
        <w:tc>
          <w:tcPr>
            <w:tcW w:w="585" w:type="dxa"/>
            <w:noWrap w:val="0"/>
            <w:vAlign w:val="center"/>
          </w:tcPr>
          <w:p w14:paraId="741B1EDB">
            <w:pPr>
              <w:widowControl/>
              <w:adjustRightInd w:val="0"/>
              <w:snapToGrid w:val="0"/>
              <w:spacing w:line="270" w:lineRule="exact"/>
              <w:jc w:val="left"/>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rPr>
              <w:t>迁移古树名木审批</w:t>
            </w:r>
          </w:p>
        </w:tc>
        <w:tc>
          <w:tcPr>
            <w:tcW w:w="1050" w:type="dxa"/>
            <w:noWrap w:val="0"/>
            <w:vAlign w:val="center"/>
          </w:tcPr>
          <w:p w14:paraId="07B3CF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57667E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595E64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53455A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55A365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7A9C748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5C9500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FF5DE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01A8B8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79938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4A83F6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724E70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410F1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791ABD5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30A91D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17492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2C976B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22E15E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4A92B0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53FDD6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711367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4894659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4134C4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7303A2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1E52DF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1F958E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3FA036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6F079A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4A5E51A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55EA14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448CC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A2B5D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4FC4C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FD458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5DA3C15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0E00B132">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E01373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82E409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5E32E8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6C94780">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46BA2A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E0A32D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7195BE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6E00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dxa"/>
            <w:noWrap w:val="0"/>
            <w:vAlign w:val="center"/>
          </w:tcPr>
          <w:p w14:paraId="085B7F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7</w:t>
            </w:r>
          </w:p>
        </w:tc>
        <w:tc>
          <w:tcPr>
            <w:tcW w:w="612" w:type="dxa"/>
            <w:noWrap w:val="0"/>
            <w:vAlign w:val="center"/>
          </w:tcPr>
          <w:p w14:paraId="066E2832">
            <w:pPr>
              <w:autoSpaceDE w:val="0"/>
              <w:autoSpaceDN w:val="0"/>
              <w:adjustRightInd w:val="0"/>
              <w:snapToGrid w:val="0"/>
              <w:jc w:val="left"/>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在风景名胜区内从事建设、设置广告、举办大型游乐活动以及其他影响生态和景观活动许可</w:t>
            </w:r>
          </w:p>
        </w:tc>
        <w:tc>
          <w:tcPr>
            <w:tcW w:w="600" w:type="dxa"/>
            <w:noWrap w:val="0"/>
            <w:vAlign w:val="center"/>
          </w:tcPr>
          <w:p w14:paraId="1F9C089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1C14B112">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0114043000</w:t>
            </w:r>
          </w:p>
        </w:tc>
        <w:tc>
          <w:tcPr>
            <w:tcW w:w="1739" w:type="dxa"/>
            <w:noWrap w:val="0"/>
            <w:vAlign w:val="center"/>
          </w:tcPr>
          <w:p w14:paraId="70C3CE07">
            <w:pPr>
              <w:adjustRightInd w:val="0"/>
              <w:snapToGri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【行政法规】《风景名胜区条例》（2016年国务院令第666号修订）</w:t>
            </w:r>
          </w:p>
          <w:p w14:paraId="1F90A76D">
            <w:pPr>
              <w:adjustRightInd w:val="0"/>
              <w:snapToGrid w:val="0"/>
              <w:ind w:firstLine="360" w:firstLineChars="20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第二十九条 在风景名胜区内进行下列活动，应当经风景名胜区管理机构审核后，依照有关法律、法规的规定报有关主管部门批准：（一）设置、张贴商业广告；（二）举办大型游乐等活动；（三）改变水资源、水环境自然状态的活动；（四）其他影响生态和景观的活动。</w:t>
            </w:r>
          </w:p>
        </w:tc>
        <w:tc>
          <w:tcPr>
            <w:tcW w:w="585" w:type="dxa"/>
            <w:noWrap w:val="0"/>
            <w:vAlign w:val="center"/>
          </w:tcPr>
          <w:p w14:paraId="60D52871">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lang w:eastAsia="zh-CN"/>
              </w:rPr>
              <w:t>根据风景名胜区管理机构管理范围确定</w:t>
            </w:r>
          </w:p>
        </w:tc>
        <w:tc>
          <w:tcPr>
            <w:tcW w:w="1050" w:type="dxa"/>
            <w:noWrap w:val="0"/>
            <w:vAlign w:val="center"/>
          </w:tcPr>
          <w:p w14:paraId="715571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06B3C8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77AF33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11C8A8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2BB170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5E6DD3A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029FC6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1BA3D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218717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819B1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508147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5E2C97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40CDC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55C0661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4735B9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A1AFC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596D40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561E77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0DBE7E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0E24F8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7D5B7E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34F6583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021BD4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07113A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56BA4C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171750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798788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664321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5914AEE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125568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6BA1B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8CB5A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83D6D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AF45C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7F47D6B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4797474E">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8024DF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D6210E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7B7A24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807E69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AC3D71A">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D708CC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E6C428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336C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59B27D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8</w:t>
            </w:r>
          </w:p>
        </w:tc>
        <w:tc>
          <w:tcPr>
            <w:tcW w:w="612" w:type="dxa"/>
            <w:noWrap w:val="0"/>
            <w:vAlign w:val="center"/>
          </w:tcPr>
          <w:p w14:paraId="68523AE1">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pacing w:val="-6"/>
                <w:sz w:val="18"/>
                <w:szCs w:val="18"/>
                <w:highlight w:val="none"/>
                <w:lang w:val="zh-CN"/>
              </w:rPr>
              <w:t>草种经营许可证核发</w:t>
            </w:r>
          </w:p>
        </w:tc>
        <w:tc>
          <w:tcPr>
            <w:tcW w:w="600" w:type="dxa"/>
            <w:noWrap w:val="0"/>
            <w:vAlign w:val="center"/>
          </w:tcPr>
          <w:p w14:paraId="41D293D2">
            <w:pPr>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615" w:type="dxa"/>
            <w:noWrap w:val="0"/>
            <w:vAlign w:val="center"/>
          </w:tcPr>
          <w:p w14:paraId="5C1FBA5E">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0117001004</w:t>
            </w:r>
          </w:p>
        </w:tc>
        <w:tc>
          <w:tcPr>
            <w:tcW w:w="1739" w:type="dxa"/>
            <w:noWrap w:val="0"/>
            <w:vAlign w:val="center"/>
          </w:tcPr>
          <w:p w14:paraId="38E87033">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lang w:eastAsia="zh-CN"/>
              </w:rPr>
            </w:pPr>
            <w:r>
              <w:rPr>
                <w:rFonts w:hint="eastAsia" w:ascii="仿宋_GB2312" w:hAnsi="仿宋_GB2312" w:eastAsia="仿宋_GB2312" w:cs="仿宋_GB2312"/>
                <w:bCs/>
                <w:color w:val="auto"/>
                <w:kern w:val="0"/>
                <w:sz w:val="18"/>
                <w:szCs w:val="18"/>
                <w:highlight w:val="none"/>
              </w:rPr>
              <w:t>职权依据，内容为：【法律】《中华人民共和国</w:t>
            </w:r>
            <w:r>
              <w:rPr>
                <w:rFonts w:hint="eastAsia" w:ascii="仿宋_GB2312" w:hAnsi="仿宋_GB2312" w:eastAsia="仿宋_GB2312" w:cs="仿宋_GB2312"/>
                <w:bCs/>
                <w:color w:val="auto"/>
                <w:kern w:val="0"/>
                <w:sz w:val="18"/>
                <w:szCs w:val="18"/>
                <w:highlight w:val="none"/>
                <w:lang w:eastAsia="zh-CN"/>
              </w:rPr>
              <w:t>种子法》（2021年修订）</w:t>
            </w:r>
          </w:p>
          <w:p w14:paraId="5EA82E0D">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第九十一条　国家加强中药材种质资源保护，支持开展中药材育种科学技术研究。</w:t>
            </w:r>
          </w:p>
          <w:p w14:paraId="1D8DCEE6">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草种、烟草种、中药材种、食用菌菌种的种质资源管理和选育、生产经营、管理等活动，参照本法执行</w:t>
            </w:r>
          </w:p>
          <w:p w14:paraId="4BE8DB57">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【部门规章】《草种管理办法》（2015年农业部令</w:t>
            </w:r>
            <w:r>
              <w:rPr>
                <w:rFonts w:hint="default" w:ascii="仿宋_GB2312" w:hAnsi="仿宋_GB2312" w:eastAsia="仿宋_GB2312" w:cs="仿宋_GB2312"/>
                <w:bCs/>
                <w:color w:val="auto"/>
                <w:kern w:val="0"/>
                <w:sz w:val="18"/>
                <w:szCs w:val="18"/>
                <w:highlight w:val="none"/>
                <w:lang w:val="en"/>
              </w:rPr>
              <w:t>第</w:t>
            </w:r>
            <w:r>
              <w:rPr>
                <w:rFonts w:hint="eastAsia" w:ascii="仿宋_GB2312" w:hAnsi="仿宋_GB2312" w:eastAsia="仿宋_GB2312" w:cs="仿宋_GB2312"/>
                <w:bCs/>
                <w:color w:val="auto"/>
                <w:kern w:val="0"/>
                <w:sz w:val="18"/>
                <w:szCs w:val="18"/>
                <w:highlight w:val="none"/>
              </w:rPr>
              <w:t>1号修订）</w:t>
            </w:r>
          </w:p>
          <w:p w14:paraId="6AAD6990">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第二十六条第二款主要草种杂交种子、常规原种种子的经营许可证，由草种经营单位和个人所在地县级人民政府草原行政主管部门审核，省级人民政府草原行政主管部门核发。</w:t>
            </w:r>
          </w:p>
          <w:p w14:paraId="343DE1CC">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第四款其他草种经营许可证，由草种经营单位或个人所在地县级人民政府草原行政主管部门核发。</w:t>
            </w:r>
          </w:p>
        </w:tc>
        <w:tc>
          <w:tcPr>
            <w:tcW w:w="585" w:type="dxa"/>
            <w:noWrap w:val="0"/>
            <w:vAlign w:val="center"/>
          </w:tcPr>
          <w:p w14:paraId="56BD1A70">
            <w:pPr>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bCs/>
                <w:color w:val="auto"/>
                <w:sz w:val="18"/>
                <w:szCs w:val="18"/>
                <w:highlight w:val="none"/>
              </w:rPr>
              <w:t>其他草种经营许可证</w:t>
            </w:r>
          </w:p>
        </w:tc>
        <w:tc>
          <w:tcPr>
            <w:tcW w:w="1050" w:type="dxa"/>
            <w:noWrap w:val="0"/>
            <w:vAlign w:val="center"/>
          </w:tcPr>
          <w:p w14:paraId="567D02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6F3B30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11655D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49774B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46BBF3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7F0439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66F4F821">
            <w:pPr>
              <w:shd w:val="clear" w:color="auto" w:fill="FFFFFF"/>
              <w:adjustRightInd w:val="0"/>
              <w:snapToGrid w:val="0"/>
              <w:rPr>
                <w:rFonts w:hint="eastAsia" w:ascii="仿宋_GB2312" w:hAnsi="仿宋_GB2312" w:eastAsia="仿宋_GB2312" w:cs="仿宋_GB2312"/>
                <w:color w:val="auto"/>
                <w:sz w:val="18"/>
                <w:szCs w:val="18"/>
                <w:highlight w:val="none"/>
              </w:rPr>
            </w:pPr>
          </w:p>
          <w:p w14:paraId="3B5C7E7C">
            <w:pPr>
              <w:shd w:val="clear" w:color="auto" w:fill="FFFFFF"/>
              <w:adjustRightInd w:val="0"/>
              <w:snapToGrid w:val="0"/>
              <w:rPr>
                <w:rFonts w:hint="eastAsia" w:ascii="仿宋_GB2312" w:hAnsi="仿宋_GB2312" w:eastAsia="仿宋_GB2312" w:cs="仿宋_GB2312"/>
                <w:color w:val="auto"/>
                <w:sz w:val="18"/>
                <w:szCs w:val="18"/>
                <w:highlight w:val="none"/>
              </w:rPr>
            </w:pPr>
          </w:p>
          <w:p w14:paraId="3C188E2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48AAE2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641C8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47AB6E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29369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0A4DD9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0F5281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CAE51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35E711B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4734AE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1FE50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1D2D92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4170F3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3223A1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00837B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081C9A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5D357EA3">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0BAC7B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6BA7A2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1516D2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29C87A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23F0D0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0AB433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5C4AC36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232B75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71CEC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9370A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B1E53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E9CCB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3E5B1BF9">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7F4AB4C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49050C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2C1A09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5C0B07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5BD1709">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2FA73CE">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B47BC6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1E9111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2D62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restart"/>
            <w:noWrap w:val="0"/>
            <w:vAlign w:val="center"/>
          </w:tcPr>
          <w:p w14:paraId="571AB46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9</w:t>
            </w:r>
          </w:p>
          <w:p w14:paraId="21C8DF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p>
        </w:tc>
        <w:tc>
          <w:tcPr>
            <w:tcW w:w="612" w:type="dxa"/>
            <w:vMerge w:val="restart"/>
            <w:noWrap w:val="0"/>
            <w:vAlign w:val="center"/>
          </w:tcPr>
          <w:p w14:paraId="553F240C">
            <w:pPr>
              <w:jc w:val="both"/>
              <w:rPr>
                <w:rFonts w:hint="eastAsia"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kern w:val="0"/>
                <w:sz w:val="18"/>
                <w:szCs w:val="18"/>
                <w:highlight w:val="none"/>
              </w:rPr>
              <w:t>草原类许可</w:t>
            </w:r>
          </w:p>
        </w:tc>
        <w:tc>
          <w:tcPr>
            <w:tcW w:w="600" w:type="dxa"/>
            <w:noWrap w:val="0"/>
            <w:vAlign w:val="center"/>
          </w:tcPr>
          <w:p w14:paraId="30A5A0D8">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pacing w:val="-6"/>
                <w:sz w:val="18"/>
                <w:szCs w:val="18"/>
                <w:highlight w:val="none"/>
                <w:lang w:val="zh-CN"/>
              </w:rPr>
              <w:t>临时占用草原审核</w:t>
            </w:r>
          </w:p>
        </w:tc>
        <w:tc>
          <w:tcPr>
            <w:tcW w:w="615" w:type="dxa"/>
            <w:noWrap w:val="0"/>
            <w:vAlign w:val="center"/>
          </w:tcPr>
          <w:p w14:paraId="6A0A28F6">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0117004002</w:t>
            </w:r>
          </w:p>
        </w:tc>
        <w:tc>
          <w:tcPr>
            <w:tcW w:w="1739" w:type="dxa"/>
            <w:noWrap w:val="0"/>
            <w:vAlign w:val="center"/>
          </w:tcPr>
          <w:p w14:paraId="29B943C4">
            <w:pPr>
              <w:adjustRightInd w:val="0"/>
              <w:snapToGrid w:val="0"/>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【法律】《中华人民共和国草原法》（2013年修正）</w:t>
            </w:r>
          </w:p>
          <w:p w14:paraId="13B12839">
            <w:pPr>
              <w:adjustRightInd w:val="0"/>
              <w:snapToGrid w:val="0"/>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四十条需要临时占用草原的，应当经县级以上地方人民政府草原行政主管部门审核同意。临时占用草原的期限不得超过二年，并不得在临时占用的草原上修建永久性建筑物、构筑物；占用期满，用地单位必须恢复草原植被并及时退还。</w:t>
            </w:r>
          </w:p>
          <w:p w14:paraId="4416BA50">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【农牧厅文件】《关于认真做好草原征占用审核审批工作的通知》（宁农牧发【2011】138号）规定。</w:t>
            </w:r>
          </w:p>
        </w:tc>
        <w:tc>
          <w:tcPr>
            <w:tcW w:w="585" w:type="dxa"/>
            <w:noWrap w:val="0"/>
            <w:vAlign w:val="center"/>
          </w:tcPr>
          <w:p w14:paraId="5E7B8440">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5公顷以下的</w:t>
            </w:r>
          </w:p>
        </w:tc>
        <w:tc>
          <w:tcPr>
            <w:tcW w:w="1050" w:type="dxa"/>
            <w:noWrap w:val="0"/>
            <w:vAlign w:val="center"/>
          </w:tcPr>
          <w:p w14:paraId="494374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14EE9B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004642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25833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1B81BA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58243B7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45820C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B0E9C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067DAC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784FC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65666B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44E550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1B41F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690EAEE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6EC912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2B00D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10946B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063538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3E3B8C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14D996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446AB4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3EA952D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175361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200137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2DFC44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4C0847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1369A9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1D663B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08AD5F7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512A66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6DC4B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E0E86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2A41A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5F352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4E84EC6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682B6189">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70BE8E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FF4300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E299F1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C1CB73D">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3C09ACD">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0DB36D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7054E3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0D30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noWrap w:val="0"/>
            <w:vAlign w:val="center"/>
          </w:tcPr>
          <w:p w14:paraId="1170AA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p>
        </w:tc>
        <w:tc>
          <w:tcPr>
            <w:tcW w:w="612" w:type="dxa"/>
            <w:vMerge w:val="continue"/>
            <w:noWrap w:val="0"/>
            <w:vAlign w:val="center"/>
          </w:tcPr>
          <w:p w14:paraId="447D8C01">
            <w:pPr>
              <w:jc w:val="both"/>
              <w:rPr>
                <w:color w:val="auto"/>
                <w:highlight w:val="none"/>
              </w:rPr>
            </w:pPr>
          </w:p>
        </w:tc>
        <w:tc>
          <w:tcPr>
            <w:tcW w:w="600" w:type="dxa"/>
            <w:noWrap w:val="0"/>
            <w:vAlign w:val="center"/>
          </w:tcPr>
          <w:p w14:paraId="7CFBD45E">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在草原上修建直接为草原保护和畜牧业生产服务的工程设施审批</w:t>
            </w:r>
          </w:p>
        </w:tc>
        <w:tc>
          <w:tcPr>
            <w:tcW w:w="615" w:type="dxa"/>
            <w:noWrap w:val="0"/>
            <w:vAlign w:val="center"/>
          </w:tcPr>
          <w:p w14:paraId="0AF63FFA">
            <w:pPr>
              <w:adjustRightInd w:val="0"/>
              <w:snapToGrid w:val="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0117004003</w:t>
            </w:r>
          </w:p>
          <w:p w14:paraId="1571D0DC">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p>
        </w:tc>
        <w:tc>
          <w:tcPr>
            <w:tcW w:w="1739" w:type="dxa"/>
            <w:noWrap w:val="0"/>
            <w:vAlign w:val="center"/>
          </w:tcPr>
          <w:p w14:paraId="22475F8B">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【法律】《中</w:t>
            </w:r>
            <w:r>
              <w:rPr>
                <w:rFonts w:hint="eastAsia" w:ascii="仿宋_GB2312" w:hAnsi="仿宋_GB2312" w:eastAsia="仿宋_GB2312" w:cs="仿宋_GB2312"/>
                <w:bCs/>
                <w:color w:val="auto"/>
                <w:kern w:val="0"/>
                <w:sz w:val="18"/>
                <w:szCs w:val="18"/>
                <w:highlight w:val="none"/>
                <w:lang w:eastAsia="zh-CN"/>
              </w:rPr>
              <w:t>华</w:t>
            </w:r>
            <w:r>
              <w:rPr>
                <w:rFonts w:hint="eastAsia" w:ascii="仿宋_GB2312" w:hAnsi="仿宋_GB2312" w:eastAsia="仿宋_GB2312" w:cs="仿宋_GB2312"/>
                <w:bCs/>
                <w:color w:val="auto"/>
                <w:kern w:val="0"/>
                <w:sz w:val="18"/>
                <w:szCs w:val="18"/>
                <w:highlight w:val="none"/>
              </w:rPr>
              <w:t>人民共和国草原法》（2013年修正）</w:t>
            </w:r>
          </w:p>
          <w:p w14:paraId="49CD8D5D">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四十一条在草原上修建直接为草原保护和畜牧业生产服务的工程设施，需要使用草原的，由县级以上人民政府草原行政主管部门批准；修筑其他工程，需要将草原转为非畜牧业生产用地的，必须依法办理建设用地审批手续。</w:t>
            </w:r>
          </w:p>
          <w:p w14:paraId="09785A99">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前款所称直接为草原保护和畜牧业生产服务的工程设施，是指：</w:t>
            </w:r>
          </w:p>
          <w:p w14:paraId="32003A83">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（一）生产、贮存草种和饲草饲料的设施；</w:t>
            </w:r>
          </w:p>
          <w:p w14:paraId="4F94D8F7">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（二）牲畜圈舍、配种点、剪毛点、药浴池、人畜饮水设施；</w:t>
            </w:r>
          </w:p>
          <w:p w14:paraId="545A8E4E">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（三）科研、试验、示范基地；</w:t>
            </w:r>
          </w:p>
          <w:p w14:paraId="254C86DB">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（四）草原防火和灌溉设施。</w:t>
            </w:r>
          </w:p>
          <w:p w14:paraId="6FAAB6EA">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【部门规章】《草原征占用审核审批管理办法》（20</w:t>
            </w:r>
            <w:r>
              <w:rPr>
                <w:rFonts w:hint="eastAsia" w:ascii="仿宋_GB2312" w:hAnsi="仿宋_GB2312" w:eastAsia="仿宋_GB2312" w:cs="仿宋_GB2312"/>
                <w:bCs/>
                <w:color w:val="auto"/>
                <w:kern w:val="0"/>
                <w:sz w:val="18"/>
                <w:szCs w:val="18"/>
                <w:highlight w:val="none"/>
                <w:lang w:val="en-US" w:eastAsia="zh-CN"/>
              </w:rPr>
              <w:t>20</w:t>
            </w:r>
            <w:r>
              <w:rPr>
                <w:rFonts w:hint="eastAsia" w:ascii="仿宋_GB2312" w:hAnsi="仿宋_GB2312" w:eastAsia="仿宋_GB2312" w:cs="仿宋_GB2312"/>
                <w:bCs/>
                <w:color w:val="auto"/>
                <w:kern w:val="0"/>
                <w:sz w:val="18"/>
                <w:szCs w:val="18"/>
                <w:highlight w:val="none"/>
              </w:rPr>
              <w:t>年修订）</w:t>
            </w:r>
          </w:p>
          <w:p w14:paraId="7090B7E7">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lang w:val="en-US" w:eastAsia="zh-CN"/>
              </w:rPr>
            </w:pPr>
            <w:r>
              <w:rPr>
                <w:rFonts w:hint="eastAsia" w:ascii="仿宋_GB2312" w:hAnsi="仿宋_GB2312" w:eastAsia="仿宋_GB2312" w:cs="仿宋_GB2312"/>
                <w:bCs/>
                <w:color w:val="auto"/>
                <w:kern w:val="0"/>
                <w:sz w:val="18"/>
                <w:szCs w:val="18"/>
                <w:highlight w:val="none"/>
              </w:rPr>
              <w:t>第八条第一款在草原上修建直接为草原保护和畜牧业生产服务的工程设施确需使用草原的，依照下列规定的权限办理：（一）使用草原超过七十公顷的，由省级人民政府草原行政主管部门审批；（二）使用草原七十公顷及其以下的，由县级以上地方人民政府草原行政主管部门依据所在省、自治区、直辖市确定的审批权限审批。</w:t>
            </w:r>
            <w:r>
              <w:rPr>
                <w:rFonts w:hint="eastAsia" w:ascii="仿宋_GB2312" w:hAnsi="仿宋_GB2312" w:eastAsia="仿宋_GB2312" w:cs="仿宋_GB2312"/>
                <w:bCs/>
                <w:color w:val="auto"/>
                <w:kern w:val="0"/>
                <w:sz w:val="18"/>
                <w:szCs w:val="18"/>
                <w:highlight w:val="none"/>
                <w:lang w:eastAsia="zh-CN"/>
              </w:rPr>
              <w:t>修建其他工程，需要将草原转为非畜牧业生产用地的，应当按照本规范第六条的规定把办理。</w:t>
            </w:r>
          </w:p>
          <w:p w14:paraId="0017326D">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【国务院决定】《国务院关于取消和下放一批行政审批项目的决定》（国发〔2014〕5号）在草原上修建直接为草原保护和畜牧业生产服务的工程设施使用七十公顷以上草原审批，下放至省级人民政府农业主管部门</w:t>
            </w:r>
          </w:p>
          <w:p w14:paraId="39FCCAFD">
            <w:pPr>
              <w:adjustRightInd w:val="0"/>
              <w:snapToGrid w:val="0"/>
              <w:ind w:firstLine="36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【农牧厅文件】《关于认真做好草原征占用审核审批工作的通知》（宁农牧发〔2011〕138号）规定。</w:t>
            </w:r>
          </w:p>
          <w:p w14:paraId="09FCF370">
            <w:pPr>
              <w:adjustRightInd w:val="0"/>
              <w:snapToGrid w:val="0"/>
              <w:ind w:firstLine="360" w:firstLineChars="0"/>
              <w:rPr>
                <w:rFonts w:hint="eastAsia" w:ascii="仿宋_GB2312" w:hAnsi="仿宋_GB2312" w:eastAsia="仿宋_GB2312" w:cs="仿宋_GB2312"/>
                <w:bCs/>
                <w:color w:val="auto"/>
                <w:kern w:val="0"/>
                <w:sz w:val="18"/>
                <w:szCs w:val="18"/>
                <w:highlight w:val="none"/>
                <w:lang w:val="en-US" w:eastAsia="zh-CN" w:bidi="ar-SA"/>
              </w:rPr>
            </w:pPr>
          </w:p>
        </w:tc>
        <w:tc>
          <w:tcPr>
            <w:tcW w:w="585" w:type="dxa"/>
            <w:noWrap w:val="0"/>
            <w:vAlign w:val="center"/>
          </w:tcPr>
          <w:p w14:paraId="2C864486">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使用草原10公顷以下的</w:t>
            </w:r>
          </w:p>
        </w:tc>
        <w:tc>
          <w:tcPr>
            <w:tcW w:w="1050" w:type="dxa"/>
            <w:noWrap w:val="0"/>
            <w:vAlign w:val="center"/>
          </w:tcPr>
          <w:p w14:paraId="1F7038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76481B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651948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366A65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1ECCB0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48F9C80B">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52B30B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5D9EE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6D7A29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F0E2F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67F594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653879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D590D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17F025C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0ABA2A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0D2E9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352A49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1BD3A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12E6E6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12C4C4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55C7B6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08FB0D23">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331E6B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10080A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1EC90F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4FB3C1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5B7DD5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02489A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68B56E4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6876B2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01B72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91C98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300EF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016DE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3DB873AA">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112A4C77">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006FEB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B20441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BA4B68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75AC303">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EBED7D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7A0DF7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C642DE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01AF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noWrap w:val="0"/>
            <w:vAlign w:val="center"/>
          </w:tcPr>
          <w:p w14:paraId="6BB7C3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p>
        </w:tc>
        <w:tc>
          <w:tcPr>
            <w:tcW w:w="612" w:type="dxa"/>
            <w:vMerge w:val="continue"/>
            <w:noWrap w:val="0"/>
            <w:vAlign w:val="center"/>
          </w:tcPr>
          <w:p w14:paraId="4AF9B84B">
            <w:pPr>
              <w:jc w:val="both"/>
              <w:rPr>
                <w:color w:val="auto"/>
                <w:highlight w:val="none"/>
              </w:rPr>
            </w:pPr>
          </w:p>
        </w:tc>
        <w:tc>
          <w:tcPr>
            <w:tcW w:w="600" w:type="dxa"/>
            <w:noWrap w:val="0"/>
            <w:vAlign w:val="center"/>
          </w:tcPr>
          <w:p w14:paraId="19894042">
            <w:pPr>
              <w:adjustRightInd w:val="0"/>
              <w:snapToGrid w:val="0"/>
              <w:jc w:val="center"/>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在草原上开展经营性旅游活动审批</w:t>
            </w:r>
          </w:p>
        </w:tc>
        <w:tc>
          <w:tcPr>
            <w:tcW w:w="615" w:type="dxa"/>
            <w:noWrap w:val="0"/>
            <w:vAlign w:val="center"/>
          </w:tcPr>
          <w:p w14:paraId="5BC4BBC9">
            <w:pPr>
              <w:adjustRightInd w:val="0"/>
              <w:snapToGrid w:val="0"/>
              <w:jc w:val="center"/>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0117004004</w:t>
            </w:r>
          </w:p>
        </w:tc>
        <w:tc>
          <w:tcPr>
            <w:tcW w:w="1739" w:type="dxa"/>
            <w:noWrap w:val="0"/>
            <w:vAlign w:val="center"/>
          </w:tcPr>
          <w:p w14:paraId="115430EE">
            <w:pPr>
              <w:widowControl/>
              <w:overflowPunct w:val="0"/>
              <w:snapToGrid w:val="0"/>
              <w:ind w:firstLine="360" w:firstLineChars="200"/>
              <w:jc w:val="left"/>
              <w:rPr>
                <w:rFonts w:hint="eastAsia" w:ascii="仿宋_GB2312" w:hAnsi="仿宋_GB2312" w:eastAsia="仿宋_GB2312" w:cs="仿宋_GB2312"/>
                <w:bCs/>
                <w:color w:val="auto"/>
                <w:sz w:val="18"/>
                <w:szCs w:val="18"/>
                <w:highlight w:val="none"/>
                <w:shd w:val="clear" w:color="auto" w:fill="FFFFFF"/>
              </w:rPr>
            </w:pPr>
            <w:r>
              <w:rPr>
                <w:rFonts w:hint="eastAsia" w:ascii="仿宋_GB2312" w:hAnsi="仿宋_GB2312" w:eastAsia="仿宋_GB2312" w:cs="仿宋_GB2312"/>
                <w:bCs/>
                <w:color w:val="auto"/>
                <w:sz w:val="18"/>
                <w:szCs w:val="18"/>
                <w:highlight w:val="none"/>
                <w:shd w:val="clear" w:color="auto" w:fill="FFFFFF"/>
              </w:rPr>
              <w:t>【法律】《中华人民共和国草原法》</w:t>
            </w:r>
            <w:r>
              <w:rPr>
                <w:rFonts w:hint="eastAsia" w:ascii="仿宋_GB2312" w:hAnsi="仿宋_GB2312" w:eastAsia="仿宋_GB2312" w:cs="仿宋_GB2312"/>
                <w:bCs/>
                <w:color w:val="auto"/>
                <w:kern w:val="0"/>
                <w:sz w:val="18"/>
                <w:szCs w:val="18"/>
                <w:highlight w:val="none"/>
              </w:rPr>
              <w:t>（2013年修正）</w:t>
            </w:r>
          </w:p>
          <w:p w14:paraId="42CA8DDE">
            <w:pPr>
              <w:adjustRightInd w:val="0"/>
              <w:snapToGrid w:val="0"/>
              <w:ind w:firstLine="360" w:firstLineChars="200"/>
              <w:rPr>
                <w:rFonts w:hint="eastAsia" w:ascii="仿宋_GB2312" w:hAnsi="仿宋_GB2312" w:eastAsia="仿宋_GB2312" w:cs="仿宋_GB2312"/>
                <w:bCs/>
                <w:color w:val="auto"/>
                <w:sz w:val="18"/>
                <w:szCs w:val="18"/>
                <w:highlight w:val="none"/>
                <w:shd w:val="clear" w:color="auto" w:fill="FFFFFF"/>
              </w:rPr>
            </w:pPr>
            <w:r>
              <w:rPr>
                <w:rFonts w:hint="eastAsia" w:ascii="仿宋_GB2312" w:hAnsi="仿宋_GB2312" w:eastAsia="仿宋_GB2312" w:cs="仿宋_GB2312"/>
                <w:bCs/>
                <w:color w:val="auto"/>
                <w:sz w:val="18"/>
                <w:szCs w:val="18"/>
                <w:highlight w:val="none"/>
                <w:shd w:val="clear" w:color="auto" w:fill="FFFFFF"/>
              </w:rPr>
              <w:t>第五十二条在草原上开展经营性旅游活动，应当符合有关草原保护、建设、利用规划，并事先征得县级以上地方人民政府草原行政主管部门的同意，方可办理有关手续。</w:t>
            </w:r>
          </w:p>
          <w:p w14:paraId="692D4A0A">
            <w:pPr>
              <w:adjustRightInd w:val="0"/>
              <w:snapToGrid w:val="0"/>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shd w:val="clear" w:color="auto" w:fill="FFFFFF"/>
              </w:rPr>
              <w:t>在草原上开展经营性旅游活动，不得侵犯草原所有者、使用者和承包经营者的合法权益，不得破坏草原植被。</w:t>
            </w:r>
          </w:p>
        </w:tc>
        <w:tc>
          <w:tcPr>
            <w:tcW w:w="585" w:type="dxa"/>
            <w:noWrap w:val="0"/>
            <w:vAlign w:val="center"/>
          </w:tcPr>
          <w:p w14:paraId="576E9B29">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在草原上开展经营性旅游活动审批</w:t>
            </w:r>
          </w:p>
        </w:tc>
        <w:tc>
          <w:tcPr>
            <w:tcW w:w="1050" w:type="dxa"/>
            <w:noWrap w:val="0"/>
            <w:vAlign w:val="center"/>
          </w:tcPr>
          <w:p w14:paraId="252E51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610A08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7996EB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747A1F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6F9877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2ED4B1B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4B31A4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A5AA9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3B6AC8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E6BA4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4C5207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0EC989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BB23F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4D3E871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3C6662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6C265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0639E2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663D1C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1F9814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69DED2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76017D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0216593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502E6F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3E777C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5231E0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2DB83D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410361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68F9A9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7483025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19E7A7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311E1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56398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D83C3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40EBD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7413313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66D7A116">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2A03EA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BEA678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44A21D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A2FA329">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4E0D7D7">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E22C40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52942E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4632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dxa"/>
            <w:vMerge w:val="continue"/>
            <w:noWrap w:val="0"/>
            <w:vAlign w:val="center"/>
          </w:tcPr>
          <w:p w14:paraId="1F2868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p>
        </w:tc>
        <w:tc>
          <w:tcPr>
            <w:tcW w:w="612" w:type="dxa"/>
            <w:vMerge w:val="continue"/>
            <w:noWrap w:val="0"/>
            <w:vAlign w:val="center"/>
          </w:tcPr>
          <w:p w14:paraId="5BF293B3">
            <w:pPr>
              <w:jc w:val="both"/>
              <w:rPr>
                <w:color w:val="auto"/>
                <w:highlight w:val="none"/>
              </w:rPr>
            </w:pPr>
          </w:p>
        </w:tc>
        <w:tc>
          <w:tcPr>
            <w:tcW w:w="600" w:type="dxa"/>
            <w:noWrap w:val="0"/>
            <w:vAlign w:val="center"/>
          </w:tcPr>
          <w:p w14:paraId="24890421">
            <w:pPr>
              <w:adjustRightInd w:val="0"/>
              <w:snapToGrid w:val="0"/>
              <w:jc w:val="center"/>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退耕还草土地用途变更后草原权属证发放</w:t>
            </w:r>
          </w:p>
        </w:tc>
        <w:tc>
          <w:tcPr>
            <w:tcW w:w="615" w:type="dxa"/>
            <w:noWrap w:val="0"/>
            <w:vAlign w:val="center"/>
          </w:tcPr>
          <w:p w14:paraId="49645B55">
            <w:pPr>
              <w:adjustRightInd w:val="0"/>
              <w:snapToGrid w:val="0"/>
              <w:jc w:val="center"/>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0117004005</w:t>
            </w:r>
          </w:p>
        </w:tc>
        <w:tc>
          <w:tcPr>
            <w:tcW w:w="1739" w:type="dxa"/>
            <w:noWrap w:val="0"/>
            <w:vAlign w:val="center"/>
          </w:tcPr>
          <w:p w14:paraId="0C128727">
            <w:pPr>
              <w:widowControl/>
              <w:overflowPunct w:val="0"/>
              <w:snapToGrid w:val="0"/>
              <w:ind w:firstLine="360" w:firstLineChars="200"/>
              <w:rPr>
                <w:rFonts w:hint="eastAsia" w:ascii="仿宋_GB2312" w:hAnsi="仿宋_GB2312" w:eastAsia="仿宋_GB2312" w:cs="仿宋_GB2312"/>
                <w:bCs/>
                <w:color w:val="auto"/>
                <w:sz w:val="18"/>
                <w:szCs w:val="18"/>
                <w:highlight w:val="none"/>
                <w:shd w:val="clear" w:color="auto" w:fill="FFFFFF"/>
              </w:rPr>
            </w:pPr>
            <w:r>
              <w:rPr>
                <w:rFonts w:hint="eastAsia" w:ascii="仿宋_GB2312" w:hAnsi="仿宋_GB2312" w:eastAsia="仿宋_GB2312" w:cs="仿宋_GB2312"/>
                <w:bCs/>
                <w:color w:val="auto"/>
                <w:sz w:val="18"/>
                <w:szCs w:val="18"/>
                <w:highlight w:val="none"/>
                <w:shd w:val="clear" w:color="auto" w:fill="FFFFFF"/>
              </w:rPr>
              <w:t>【法律】《中华人民共和国草原法》（</w:t>
            </w:r>
            <w:r>
              <w:rPr>
                <w:rFonts w:hint="eastAsia" w:ascii="仿宋_GB2312" w:hAnsi="仿宋_GB2312" w:eastAsia="仿宋_GB2312" w:cs="仿宋_GB2312"/>
                <w:bCs/>
                <w:color w:val="auto"/>
                <w:kern w:val="0"/>
                <w:sz w:val="18"/>
                <w:szCs w:val="18"/>
                <w:highlight w:val="none"/>
              </w:rPr>
              <w:t>2013年修正</w:t>
            </w:r>
            <w:r>
              <w:rPr>
                <w:rFonts w:hint="eastAsia" w:ascii="仿宋_GB2312" w:hAnsi="仿宋_GB2312" w:eastAsia="仿宋_GB2312" w:cs="仿宋_GB2312"/>
                <w:bCs/>
                <w:color w:val="auto"/>
                <w:sz w:val="18"/>
                <w:szCs w:val="18"/>
                <w:highlight w:val="none"/>
                <w:shd w:val="clear" w:color="auto" w:fill="FFFFFF"/>
              </w:rPr>
              <w:t>）</w:t>
            </w:r>
          </w:p>
          <w:p w14:paraId="6FAA9AE7">
            <w:pPr>
              <w:widowControl/>
              <w:overflowPunct w:val="0"/>
              <w:snapToGrid w:val="0"/>
              <w:ind w:firstLine="539"/>
              <w:jc w:val="left"/>
              <w:rPr>
                <w:rFonts w:hint="eastAsia" w:ascii="仿宋_GB2312" w:hAnsi="仿宋_GB2312" w:eastAsia="仿宋_GB2312" w:cs="仿宋_GB2312"/>
                <w:bCs/>
                <w:color w:val="auto"/>
                <w:sz w:val="18"/>
                <w:szCs w:val="18"/>
                <w:highlight w:val="none"/>
                <w:shd w:val="clear" w:color="auto" w:fill="FFFFFF"/>
              </w:rPr>
            </w:pPr>
            <w:r>
              <w:rPr>
                <w:rFonts w:hint="eastAsia" w:ascii="仿宋_GB2312" w:hAnsi="仿宋_GB2312" w:eastAsia="仿宋_GB2312" w:cs="仿宋_GB2312"/>
                <w:bCs/>
                <w:color w:val="auto"/>
                <w:sz w:val="18"/>
                <w:szCs w:val="18"/>
                <w:highlight w:val="none"/>
                <w:shd w:val="clear" w:color="auto" w:fill="FFFFFF"/>
              </w:rPr>
              <w:t>第四十八条国家支持依法实行退耕还草和禁牧、休牧。具体办法由国务院或者省、自治区、直辖市人民政府制定。</w:t>
            </w:r>
          </w:p>
          <w:p w14:paraId="1FC0DD7F">
            <w:pPr>
              <w:adjustRightInd w:val="0"/>
              <w:snapToGrid w:val="0"/>
              <w:ind w:firstLine="360" w:firstLineChars="200"/>
              <w:rPr>
                <w:rFonts w:hint="eastAsia" w:ascii="仿宋_GB2312" w:hAnsi="仿宋_GB2312" w:eastAsia="仿宋_GB2312" w:cs="仿宋_GB2312"/>
                <w:bCs/>
                <w:color w:val="auto"/>
                <w:kern w:val="0"/>
                <w:sz w:val="18"/>
                <w:szCs w:val="18"/>
                <w:highlight w:val="none"/>
                <w:lang w:val="en-US" w:eastAsia="zh-CN" w:bidi="ar-SA"/>
              </w:rPr>
            </w:pPr>
            <w:r>
              <w:rPr>
                <w:rFonts w:hint="eastAsia" w:ascii="仿宋_GB2312" w:hAnsi="仿宋_GB2312" w:eastAsia="仿宋_GB2312" w:cs="仿宋_GB2312"/>
                <w:bCs/>
                <w:color w:val="auto"/>
                <w:sz w:val="18"/>
                <w:szCs w:val="18"/>
                <w:highlight w:val="none"/>
                <w:shd w:val="clear" w:color="auto" w:fill="FFFFFF"/>
              </w:rPr>
              <w:t>对在国务院批准规划范围内实施退耕还草的农牧民，按照国家规定给予粮食、现金、草种费补助。退耕还草完成后，由县级以上人民政府草原行政主管部门核实登记，依法履行土地用途变更手续，发放草原权属证书。</w:t>
            </w:r>
          </w:p>
        </w:tc>
        <w:tc>
          <w:tcPr>
            <w:tcW w:w="585" w:type="dxa"/>
            <w:noWrap w:val="0"/>
            <w:vAlign w:val="center"/>
          </w:tcPr>
          <w:p w14:paraId="0955619B">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退耕还草土地用途变更后草原权属证发放</w:t>
            </w:r>
          </w:p>
        </w:tc>
        <w:tc>
          <w:tcPr>
            <w:tcW w:w="1050" w:type="dxa"/>
            <w:noWrap w:val="0"/>
            <w:vAlign w:val="center"/>
          </w:tcPr>
          <w:p w14:paraId="035DE7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789ECD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595106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6C67ED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28AA36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213461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6329ED7D">
            <w:pPr>
              <w:shd w:val="clear" w:color="auto" w:fill="FFFFFF"/>
              <w:adjustRightInd w:val="0"/>
              <w:snapToGrid w:val="0"/>
              <w:rPr>
                <w:rFonts w:hint="eastAsia" w:ascii="仿宋_GB2312" w:hAnsi="仿宋_GB2312" w:eastAsia="仿宋_GB2312" w:cs="仿宋_GB2312"/>
                <w:color w:val="auto"/>
                <w:sz w:val="18"/>
                <w:szCs w:val="18"/>
                <w:highlight w:val="none"/>
              </w:rPr>
            </w:pPr>
          </w:p>
          <w:p w14:paraId="61A7E429">
            <w:pPr>
              <w:shd w:val="clear" w:color="auto" w:fill="FFFFFF"/>
              <w:adjustRightInd w:val="0"/>
              <w:snapToGrid w:val="0"/>
              <w:rPr>
                <w:rFonts w:hint="eastAsia" w:ascii="仿宋_GB2312" w:hAnsi="仿宋_GB2312" w:eastAsia="仿宋_GB2312" w:cs="仿宋_GB2312"/>
                <w:color w:val="auto"/>
                <w:sz w:val="18"/>
                <w:szCs w:val="18"/>
                <w:highlight w:val="none"/>
              </w:rPr>
            </w:pPr>
          </w:p>
          <w:p w14:paraId="4CBBECD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3A181A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8394D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1CAD3A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65045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4D59CA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46ADE2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DFA4F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1DD296E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36B049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95488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3CFB19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7ED25D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3CE0F3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193B27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7336D9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6D1B6EB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49772B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2EA691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9A891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41F541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034D30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03D8AF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0C6BBD3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2AAAF9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54052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A489D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68F2F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27BC4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7DB3A75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7B3E05FB">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68390C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D7975D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783A5A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9FF797D">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EBC5BBD">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D8F3CF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BCF0EC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5489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501C40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10</w:t>
            </w:r>
          </w:p>
        </w:tc>
        <w:tc>
          <w:tcPr>
            <w:tcW w:w="612" w:type="dxa"/>
            <w:noWrap w:val="0"/>
            <w:vAlign w:val="center"/>
          </w:tcPr>
          <w:p w14:paraId="7EA7759C">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在草原上采集国家野生保护植物（含草种种质资源采集和草原固沙野生植物采集、收购）审批</w:t>
            </w:r>
          </w:p>
        </w:tc>
        <w:tc>
          <w:tcPr>
            <w:tcW w:w="600" w:type="dxa"/>
            <w:noWrap w:val="0"/>
            <w:vAlign w:val="center"/>
          </w:tcPr>
          <w:p w14:paraId="66DA165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2F252F50">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0117007005</w:t>
            </w:r>
          </w:p>
        </w:tc>
        <w:tc>
          <w:tcPr>
            <w:tcW w:w="1739" w:type="dxa"/>
            <w:noWrap w:val="0"/>
            <w:vAlign w:val="center"/>
          </w:tcPr>
          <w:p w14:paraId="7D5C15D4">
            <w:pPr>
              <w:widowControl/>
              <w:adjustRightInd w:val="0"/>
              <w:snapToGrid w:val="0"/>
              <w:rPr>
                <w:rFonts w:hint="eastAsia" w:ascii="仿宋_GB2312" w:hAnsi="仿宋_GB2312" w:eastAsia="仿宋_GB2312" w:cs="仿宋_GB2312"/>
                <w:b/>
                <w:bCs/>
                <w:color w:val="auto"/>
                <w:kern w:val="0"/>
                <w:sz w:val="18"/>
                <w:szCs w:val="18"/>
                <w:highlight w:val="none"/>
                <w:lang w:eastAsia="zh-CN"/>
              </w:rPr>
            </w:pPr>
            <w:r>
              <w:rPr>
                <w:rFonts w:hint="eastAsia" w:ascii="仿宋_GB2312" w:hAnsi="仿宋_GB2312" w:eastAsia="仿宋_GB2312" w:cs="仿宋_GB2312"/>
                <w:bCs/>
                <w:color w:val="auto"/>
                <w:kern w:val="0"/>
                <w:sz w:val="18"/>
                <w:szCs w:val="18"/>
                <w:highlight w:val="none"/>
              </w:rPr>
              <w:t xml:space="preserve">    【行政法规】《中华人民共和国野生植物保护条例》（</w:t>
            </w:r>
            <w:r>
              <w:rPr>
                <w:rFonts w:hint="eastAsia" w:ascii="仿宋_GB2312" w:hAnsi="仿宋_GB2312" w:eastAsia="仿宋_GB2312" w:cs="仿宋_GB2312"/>
                <w:b/>
                <w:color w:val="auto"/>
                <w:sz w:val="18"/>
                <w:szCs w:val="18"/>
                <w:highlight w:val="none"/>
              </w:rPr>
              <w:t>201</w:t>
            </w:r>
            <w:r>
              <w:rPr>
                <w:rFonts w:hint="eastAsia" w:ascii="仿宋_GB2312" w:hAnsi="仿宋_GB2312" w:eastAsia="仿宋_GB2312" w:cs="仿宋_GB2312"/>
                <w:b/>
                <w:color w:val="auto"/>
                <w:sz w:val="18"/>
                <w:szCs w:val="18"/>
                <w:highlight w:val="none"/>
                <w:lang w:val="en-US" w:eastAsia="zh-CN"/>
              </w:rPr>
              <w:t>7</w:t>
            </w:r>
            <w:r>
              <w:rPr>
                <w:rFonts w:hint="eastAsia" w:ascii="仿宋_GB2312" w:hAnsi="仿宋_GB2312" w:eastAsia="仿宋_GB2312" w:cs="仿宋_GB2312"/>
                <w:b/>
                <w:color w:val="auto"/>
                <w:sz w:val="18"/>
                <w:szCs w:val="18"/>
                <w:highlight w:val="none"/>
              </w:rPr>
              <w:t>年</w:t>
            </w:r>
            <w:r>
              <w:rPr>
                <w:rFonts w:hint="eastAsia" w:ascii="仿宋_GB2312" w:hAnsi="仿宋_GB2312" w:eastAsia="仿宋_GB2312" w:cs="仿宋_GB2312"/>
                <w:b/>
                <w:color w:val="auto"/>
                <w:sz w:val="18"/>
                <w:szCs w:val="18"/>
                <w:highlight w:val="none"/>
                <w:lang w:val="en-US" w:eastAsia="zh-CN"/>
              </w:rPr>
              <w:t>10</w:t>
            </w:r>
            <w:r>
              <w:rPr>
                <w:rFonts w:hint="eastAsia" w:ascii="仿宋_GB2312" w:hAnsi="仿宋_GB2312" w:eastAsia="仿宋_GB2312" w:cs="仿宋_GB2312"/>
                <w:b/>
                <w:color w:val="auto"/>
                <w:sz w:val="18"/>
                <w:szCs w:val="18"/>
                <w:highlight w:val="none"/>
              </w:rPr>
              <w:t>月</w:t>
            </w:r>
            <w:r>
              <w:rPr>
                <w:rFonts w:hint="eastAsia" w:ascii="仿宋_GB2312" w:hAnsi="仿宋_GB2312" w:eastAsia="仿宋_GB2312" w:cs="仿宋_GB2312"/>
                <w:b/>
                <w:color w:val="auto"/>
                <w:sz w:val="18"/>
                <w:szCs w:val="18"/>
                <w:highlight w:val="none"/>
                <w:lang w:val="en-US" w:eastAsia="zh-CN"/>
              </w:rPr>
              <w:t>7</w:t>
            </w:r>
            <w:r>
              <w:rPr>
                <w:rFonts w:hint="eastAsia" w:ascii="仿宋_GB2312" w:hAnsi="仿宋_GB2312" w:eastAsia="仿宋_GB2312" w:cs="仿宋_GB2312"/>
                <w:b/>
                <w:color w:val="auto"/>
                <w:sz w:val="18"/>
                <w:szCs w:val="18"/>
                <w:highlight w:val="none"/>
              </w:rPr>
              <w:t>日《国务院关于修改部分行政法规的决定》修订</w:t>
            </w:r>
            <w:r>
              <w:rPr>
                <w:rFonts w:hint="eastAsia" w:ascii="仿宋_GB2312" w:hAnsi="仿宋_GB2312" w:eastAsia="仿宋_GB2312" w:cs="仿宋_GB2312"/>
                <w:b/>
                <w:color w:val="auto"/>
                <w:sz w:val="18"/>
                <w:szCs w:val="18"/>
                <w:highlight w:val="none"/>
                <w:lang w:val="en-US" w:eastAsia="zh-CN"/>
              </w:rPr>
              <w:t>)</w:t>
            </w:r>
          </w:p>
          <w:p w14:paraId="159F5A4F">
            <w:pPr>
              <w:widowControl/>
              <w:adjustRightInd w:val="0"/>
              <w:snapToGrid w:val="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 xml:space="preserve">    第十六条第二款采集国家二级保护野生植物的，必须经采集地的县级人民政府野生植物行政主管部门签署意见后，向省、自治区、直辖市人民政府野生植物行政主管部门或者其授权的机构申请采集证。</w:t>
            </w:r>
          </w:p>
          <w:p w14:paraId="0589799C">
            <w:pPr>
              <w:widowControl/>
              <w:adjustRightInd w:val="0"/>
              <w:snapToGrid w:val="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 xml:space="preserve">    第十六条第四款采集珍贵野生树木或者林区内、草原上的野生植物的，依照森林法、草原法的规定办理。【地方性法规】《宁夏回族自治区草原管理条例》（2005年）</w:t>
            </w:r>
          </w:p>
          <w:p w14:paraId="41CB1DBD">
            <w:pPr>
              <w:widowControl/>
              <w:adjustRightInd w:val="0"/>
              <w:snapToGrid w:val="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 xml:space="preserve">    第三十三条禁止在草原上采集国家野生保护植物以及草种种质资源。因科学研究、人工栽培、文化交流等特殊需要采集草原野生保护植物的，应当经自治区人民政府草原行政主管部门批准。</w:t>
            </w:r>
          </w:p>
          <w:p w14:paraId="0081CAB6">
            <w:pPr>
              <w:widowControl/>
              <w:adjustRightInd w:val="0"/>
              <w:snapToGrid w:val="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 xml:space="preserve">    第三十四条禁止采集、加工、收购和销售发菜。未经批准，不得在草原上滥挖野生甘草、麻黄草、苦豆子等固沙野生植物。对采集、收购野生甘草、麻黄草、苦豆子等固沙野生植物的，应当经自治区人民政府草原行政主管部门批准。草原固沙野生植物的采集、收购管理办法由自治区人民政府另行制定。</w:t>
            </w:r>
          </w:p>
          <w:p w14:paraId="33B74A2D">
            <w:pPr>
              <w:widowControl/>
              <w:adjustRightInd w:val="0"/>
              <w:snapToGrid w:val="0"/>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 xml:space="preserve">    【部门规章】《甘草和麻黄草采集管理办法》（2001年农业部令第1号）</w:t>
            </w:r>
          </w:p>
          <w:p w14:paraId="74713090">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 xml:space="preserve">    第十一条申请采集甘草和麻黄草的单位和个人须填写采集审批表，由采集地县级人民政府农牧行政主管部门签署意见后，向省级人民政府农牧行政主管部门申请办理采集证。</w:t>
            </w:r>
          </w:p>
        </w:tc>
        <w:tc>
          <w:tcPr>
            <w:tcW w:w="585" w:type="dxa"/>
            <w:noWrap w:val="0"/>
            <w:vAlign w:val="center"/>
          </w:tcPr>
          <w:p w14:paraId="4B800379">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初审</w:t>
            </w:r>
          </w:p>
        </w:tc>
        <w:tc>
          <w:tcPr>
            <w:tcW w:w="1050" w:type="dxa"/>
            <w:noWrap w:val="0"/>
            <w:vAlign w:val="center"/>
          </w:tcPr>
          <w:p w14:paraId="730C0E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7EB33D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5ACA2D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1BD51F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3E85C4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5C7BB5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0B183CDF">
            <w:pPr>
              <w:shd w:val="clear" w:color="auto" w:fill="FFFFFF"/>
              <w:adjustRightInd w:val="0"/>
              <w:snapToGrid w:val="0"/>
              <w:rPr>
                <w:rFonts w:hint="eastAsia" w:ascii="仿宋_GB2312" w:hAnsi="仿宋_GB2312" w:eastAsia="仿宋_GB2312" w:cs="仿宋_GB2312"/>
                <w:color w:val="auto"/>
                <w:sz w:val="18"/>
                <w:szCs w:val="18"/>
                <w:highlight w:val="none"/>
              </w:rPr>
            </w:pPr>
          </w:p>
          <w:p w14:paraId="0CEF492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393F7C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78EF0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3519A4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E83A1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7A191E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03FADE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49814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1F4E39C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3F31D0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591E0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2BC5EE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30DD3E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3AC574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327AFA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742726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5D787FC8">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209B98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2040C9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48C7C6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3B2518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40D8EC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6D22A2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70A3150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2EB67C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5C66A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E6CE3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9A5B1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231BA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4D4A736F">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79D7B30E">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679C7F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92720B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A0EBE2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08A2358">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EE962E2">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590C2F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FA79B3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4211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restart"/>
            <w:noWrap w:val="0"/>
            <w:vAlign w:val="center"/>
          </w:tcPr>
          <w:p w14:paraId="40412FA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11</w:t>
            </w:r>
          </w:p>
        </w:tc>
        <w:tc>
          <w:tcPr>
            <w:tcW w:w="612" w:type="dxa"/>
            <w:vMerge w:val="restart"/>
            <w:noWrap w:val="0"/>
            <w:vAlign w:val="center"/>
          </w:tcPr>
          <w:p w14:paraId="408D08F1">
            <w:pPr>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建设项目使用林地审核审批</w:t>
            </w:r>
          </w:p>
        </w:tc>
        <w:tc>
          <w:tcPr>
            <w:tcW w:w="600" w:type="dxa"/>
            <w:noWrap w:val="0"/>
            <w:vAlign w:val="center"/>
          </w:tcPr>
          <w:p w14:paraId="4E5F86FE">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pacing w:val="-6"/>
                <w:sz w:val="18"/>
                <w:szCs w:val="18"/>
                <w:highlight w:val="none"/>
                <w:lang w:val="zh-CN"/>
              </w:rPr>
              <w:t>建设项目临时占用林地审批</w:t>
            </w:r>
          </w:p>
        </w:tc>
        <w:tc>
          <w:tcPr>
            <w:tcW w:w="615" w:type="dxa"/>
            <w:noWrap w:val="0"/>
            <w:vAlign w:val="center"/>
          </w:tcPr>
          <w:p w14:paraId="18389F7F">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0122001002</w:t>
            </w:r>
          </w:p>
        </w:tc>
        <w:tc>
          <w:tcPr>
            <w:tcW w:w="1739" w:type="dxa"/>
            <w:noWrap w:val="0"/>
            <w:vAlign w:val="center"/>
          </w:tcPr>
          <w:p w14:paraId="7378F38D">
            <w:pPr>
              <w:adjustRightInd w:val="0"/>
              <w:snapToGrid w:val="0"/>
              <w:ind w:firstLine="345"/>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【行政法规】《中华人民共和国森林法实施条例》（201</w:t>
            </w:r>
            <w:r>
              <w:rPr>
                <w:rFonts w:hint="eastAsia" w:ascii="仿宋_GB2312" w:hAnsi="仿宋_GB2312" w:eastAsia="仿宋_GB2312" w:cs="仿宋_GB2312"/>
                <w:bCs/>
                <w:color w:val="auto"/>
                <w:sz w:val="18"/>
                <w:szCs w:val="18"/>
                <w:highlight w:val="none"/>
                <w:lang w:val="en-US" w:eastAsia="zh-CN"/>
              </w:rPr>
              <w:t>8</w:t>
            </w:r>
            <w:r>
              <w:rPr>
                <w:rFonts w:hint="eastAsia" w:ascii="仿宋_GB2312" w:hAnsi="仿宋_GB2312" w:eastAsia="仿宋_GB2312" w:cs="仿宋_GB2312"/>
                <w:bCs/>
                <w:color w:val="auto"/>
                <w:sz w:val="18"/>
                <w:szCs w:val="18"/>
                <w:highlight w:val="none"/>
              </w:rPr>
              <w:t>年国务院令第6</w:t>
            </w:r>
            <w:r>
              <w:rPr>
                <w:rFonts w:hint="eastAsia" w:ascii="仿宋_GB2312" w:hAnsi="仿宋_GB2312" w:eastAsia="仿宋_GB2312" w:cs="仿宋_GB2312"/>
                <w:bCs/>
                <w:color w:val="auto"/>
                <w:sz w:val="18"/>
                <w:szCs w:val="18"/>
                <w:highlight w:val="none"/>
                <w:lang w:val="en-US" w:eastAsia="zh-CN"/>
              </w:rPr>
              <w:t>98</w:t>
            </w:r>
            <w:r>
              <w:rPr>
                <w:rFonts w:hint="eastAsia" w:ascii="仿宋_GB2312" w:hAnsi="仿宋_GB2312" w:eastAsia="仿宋_GB2312" w:cs="仿宋_GB2312"/>
                <w:bCs/>
                <w:color w:val="auto"/>
                <w:sz w:val="18"/>
                <w:szCs w:val="18"/>
                <w:highlight w:val="none"/>
              </w:rPr>
              <w:t>号修</w:t>
            </w:r>
            <w:r>
              <w:rPr>
                <w:rFonts w:hint="eastAsia" w:ascii="仿宋_GB2312" w:hAnsi="仿宋_GB2312" w:eastAsia="仿宋_GB2312" w:cs="仿宋_GB2312"/>
                <w:bCs/>
                <w:color w:val="auto"/>
                <w:sz w:val="18"/>
                <w:szCs w:val="18"/>
                <w:highlight w:val="none"/>
                <w:lang w:eastAsia="zh-CN"/>
              </w:rPr>
              <w:t>订</w:t>
            </w:r>
            <w:r>
              <w:rPr>
                <w:rFonts w:hint="eastAsia" w:ascii="仿宋_GB2312" w:hAnsi="仿宋_GB2312" w:eastAsia="仿宋_GB2312" w:cs="仿宋_GB2312"/>
                <w:bCs/>
                <w:color w:val="auto"/>
                <w:sz w:val="18"/>
                <w:szCs w:val="18"/>
                <w:highlight w:val="none"/>
              </w:rPr>
              <w:t>)</w:t>
            </w:r>
          </w:p>
          <w:p w14:paraId="09135DB6">
            <w:pPr>
              <w:adjustRightInd w:val="0"/>
              <w:snapToGrid w:val="0"/>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第十七条 需要临时占用林地的，应当经县级以上人民政府林业主管部门批准。</w:t>
            </w:r>
          </w:p>
          <w:p w14:paraId="667EBDE3">
            <w:pPr>
              <w:widowControl/>
              <w:adjustRightInd w:val="0"/>
              <w:snapToGrid w:val="0"/>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临时占用林地的期限不得超过两年，并不得在临时占用的林地上修筑永久性建筑物；占用期满后，用地单位必须恢复林业生产条件。</w:t>
            </w:r>
          </w:p>
          <w:p w14:paraId="15E25198">
            <w:pPr>
              <w:widowControl/>
              <w:adjustRightInd w:val="0"/>
              <w:snapToGrid w:val="0"/>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【部门规章】《建设项目使用林地审核审批管理办法》（2015年国家林业局令第35号）</w:t>
            </w:r>
          </w:p>
          <w:p w14:paraId="15A1E48D">
            <w:pPr>
              <w:numPr>
                <w:ilvl w:val="0"/>
                <w:numId w:val="1"/>
              </w:num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建设项目临时占用林地和森林经营单位在所经营的林地范围内修筑直接为林业生产服务的工程设施占用林地的审批权限，由县级以上地方人民政府林业主管部门按照省、自治区、直辖市有关规定办理。其中，重点国有林区内的建设项目，由省级林业主管部门审批。</w:t>
            </w:r>
          </w:p>
        </w:tc>
        <w:tc>
          <w:tcPr>
            <w:tcW w:w="585" w:type="dxa"/>
            <w:noWrap w:val="0"/>
            <w:vAlign w:val="center"/>
          </w:tcPr>
          <w:p w14:paraId="06E5C5BB">
            <w:pPr>
              <w:snapToGrid w:val="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建设项目临时占用林地审批</w:t>
            </w:r>
          </w:p>
          <w:p w14:paraId="1548193F">
            <w:pPr>
              <w:snapToGrid w:val="0"/>
              <w:rPr>
                <w:rFonts w:hint="eastAsia" w:ascii="仿宋_GB2312" w:hAnsi="仿宋_GB2312" w:eastAsia="仿宋_GB2312" w:cs="仿宋_GB2312"/>
                <w:bCs/>
                <w:color w:val="auto"/>
                <w:kern w:val="2"/>
                <w:sz w:val="18"/>
                <w:szCs w:val="18"/>
                <w:highlight w:val="none"/>
                <w:lang w:val="en-US" w:eastAsia="zh-CN" w:bidi="ar-SA"/>
              </w:rPr>
            </w:pPr>
          </w:p>
        </w:tc>
        <w:tc>
          <w:tcPr>
            <w:tcW w:w="1050" w:type="dxa"/>
            <w:noWrap w:val="0"/>
            <w:vAlign w:val="center"/>
          </w:tcPr>
          <w:p w14:paraId="17A056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4ADCD1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44EC0F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74EDEB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297919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506B6B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7564D8C7">
            <w:pPr>
              <w:shd w:val="clear" w:color="auto" w:fill="FFFFFF"/>
              <w:adjustRightInd w:val="0"/>
              <w:snapToGrid w:val="0"/>
              <w:rPr>
                <w:rFonts w:hint="eastAsia" w:ascii="仿宋_GB2312" w:hAnsi="仿宋_GB2312" w:eastAsia="仿宋_GB2312" w:cs="仿宋_GB2312"/>
                <w:color w:val="auto"/>
                <w:sz w:val="18"/>
                <w:szCs w:val="18"/>
                <w:highlight w:val="none"/>
              </w:rPr>
            </w:pPr>
          </w:p>
          <w:p w14:paraId="5A60452F">
            <w:pPr>
              <w:shd w:val="clear" w:color="auto" w:fill="FFFFFF"/>
              <w:adjustRightInd w:val="0"/>
              <w:snapToGrid w:val="0"/>
              <w:rPr>
                <w:rFonts w:hint="eastAsia" w:ascii="仿宋_GB2312" w:hAnsi="仿宋_GB2312" w:eastAsia="仿宋_GB2312" w:cs="仿宋_GB2312"/>
                <w:color w:val="auto"/>
                <w:sz w:val="18"/>
                <w:szCs w:val="18"/>
                <w:highlight w:val="none"/>
              </w:rPr>
            </w:pPr>
          </w:p>
          <w:p w14:paraId="187F9B2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761E78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EACDE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4933C2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41E6A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02DBEF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671E17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F966B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79C1283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435B30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568CB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314363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65583F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18CE72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107B4A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717482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2E681AD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41E5E8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17B232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9029F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12BECE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34F02C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1EDFC6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102B462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2CD8E8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2FBD1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488A0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805D4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F94CB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0860AAA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5140B8F0">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52E03F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D711E6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2D1471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91EE0CF">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336FFF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0DD5FC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F2C528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5716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vMerge w:val="continue"/>
            <w:noWrap w:val="0"/>
            <w:vAlign w:val="center"/>
          </w:tcPr>
          <w:p w14:paraId="727F93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p>
        </w:tc>
        <w:tc>
          <w:tcPr>
            <w:tcW w:w="612" w:type="dxa"/>
            <w:vMerge w:val="continue"/>
            <w:noWrap w:val="0"/>
            <w:vAlign w:val="center"/>
          </w:tcPr>
          <w:p w14:paraId="05C4D84B">
            <w:pPr>
              <w:jc w:val="both"/>
              <w:rPr>
                <w:color w:val="auto"/>
                <w:highlight w:val="none"/>
              </w:rPr>
            </w:pPr>
          </w:p>
        </w:tc>
        <w:tc>
          <w:tcPr>
            <w:tcW w:w="600" w:type="dxa"/>
            <w:noWrap w:val="0"/>
            <w:vAlign w:val="center"/>
          </w:tcPr>
          <w:p w14:paraId="36DF41B3">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pacing w:val="-6"/>
                <w:sz w:val="18"/>
                <w:szCs w:val="18"/>
                <w:highlight w:val="none"/>
                <w:lang w:val="zh-CN"/>
              </w:rPr>
              <w:t>森林经营单位在所经营的林地范围内修筑直接为林业生产服务的工程设施占用林地审批</w:t>
            </w:r>
          </w:p>
        </w:tc>
        <w:tc>
          <w:tcPr>
            <w:tcW w:w="615" w:type="dxa"/>
            <w:noWrap w:val="0"/>
            <w:vAlign w:val="center"/>
          </w:tcPr>
          <w:p w14:paraId="0C1968AA">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0122001003</w:t>
            </w:r>
          </w:p>
        </w:tc>
        <w:tc>
          <w:tcPr>
            <w:tcW w:w="1739" w:type="dxa"/>
            <w:noWrap w:val="0"/>
            <w:vAlign w:val="center"/>
          </w:tcPr>
          <w:p w14:paraId="47CF8E8B">
            <w:pPr>
              <w:adjustRightInd w:val="0"/>
              <w:snapToGrid w:val="0"/>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【行政法规】《中华人民共和国森林法实施条例》（201</w:t>
            </w:r>
            <w:r>
              <w:rPr>
                <w:rFonts w:hint="eastAsia" w:ascii="仿宋_GB2312" w:hAnsi="仿宋_GB2312" w:eastAsia="仿宋_GB2312" w:cs="仿宋_GB2312"/>
                <w:bCs/>
                <w:color w:val="auto"/>
                <w:sz w:val="18"/>
                <w:szCs w:val="18"/>
                <w:highlight w:val="none"/>
                <w:lang w:val="en-US" w:eastAsia="zh-CN"/>
              </w:rPr>
              <w:t>8</w:t>
            </w:r>
            <w:r>
              <w:rPr>
                <w:rFonts w:hint="eastAsia" w:ascii="仿宋_GB2312" w:hAnsi="仿宋_GB2312" w:eastAsia="仿宋_GB2312" w:cs="仿宋_GB2312"/>
                <w:bCs/>
                <w:color w:val="auto"/>
                <w:sz w:val="18"/>
                <w:szCs w:val="18"/>
                <w:highlight w:val="none"/>
              </w:rPr>
              <w:t>年国务院令第6</w:t>
            </w:r>
            <w:r>
              <w:rPr>
                <w:rFonts w:hint="eastAsia" w:ascii="仿宋_GB2312" w:hAnsi="仿宋_GB2312" w:eastAsia="仿宋_GB2312" w:cs="仿宋_GB2312"/>
                <w:bCs/>
                <w:color w:val="auto"/>
                <w:sz w:val="18"/>
                <w:szCs w:val="18"/>
                <w:highlight w:val="none"/>
                <w:lang w:val="en-US" w:eastAsia="zh-CN"/>
              </w:rPr>
              <w:t>98</w:t>
            </w:r>
            <w:r>
              <w:rPr>
                <w:rFonts w:hint="eastAsia" w:ascii="仿宋_GB2312" w:hAnsi="仿宋_GB2312" w:eastAsia="仿宋_GB2312" w:cs="仿宋_GB2312"/>
                <w:bCs/>
                <w:color w:val="auto"/>
                <w:sz w:val="18"/>
                <w:szCs w:val="18"/>
                <w:highlight w:val="none"/>
              </w:rPr>
              <w:t>号修订)</w:t>
            </w:r>
          </w:p>
          <w:p w14:paraId="6A037436">
            <w:pPr>
              <w:widowControl/>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第十八条一款 森林经营单位在所经营的林地范围内修筑直接为林业生产服务的工程设施，需要占用林地的，由县级以上人民政府林业主管部门批准；修筑其他工程设施，需要将林地转为非林业建设用地的，必须依法办理建设用地审批手续。</w:t>
            </w:r>
          </w:p>
          <w:p w14:paraId="352DC1BC">
            <w:pPr>
              <w:snapToGrid w:val="0"/>
              <w:rPr>
                <w:rFonts w:hint="eastAsia" w:ascii="仿宋_GB2312" w:hAnsi="仿宋_GB2312" w:eastAsia="仿宋_GB2312" w:cs="仿宋_GB2312"/>
                <w:color w:val="auto"/>
                <w:kern w:val="2"/>
                <w:sz w:val="18"/>
                <w:szCs w:val="18"/>
                <w:highlight w:val="none"/>
                <w:lang w:val="en-US" w:eastAsia="zh-CN" w:bidi="ar-SA"/>
              </w:rPr>
            </w:pPr>
          </w:p>
        </w:tc>
        <w:tc>
          <w:tcPr>
            <w:tcW w:w="585" w:type="dxa"/>
            <w:noWrap w:val="0"/>
            <w:vAlign w:val="center"/>
          </w:tcPr>
          <w:p w14:paraId="08FF7581">
            <w:pPr>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森林经营单位在所经营的林地范围内修筑直接为林业生产服务的工程设施占用林地审批</w:t>
            </w:r>
          </w:p>
        </w:tc>
        <w:tc>
          <w:tcPr>
            <w:tcW w:w="1050" w:type="dxa"/>
            <w:noWrap w:val="0"/>
            <w:vAlign w:val="center"/>
          </w:tcPr>
          <w:p w14:paraId="630FFB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72FE95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248486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3558FB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68A2EC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1C6A5190">
            <w:pPr>
              <w:shd w:val="clear" w:color="auto" w:fill="FFFFFF"/>
              <w:adjustRightInd w:val="0"/>
              <w:snapToGrid w:val="0"/>
              <w:rPr>
                <w:rFonts w:hint="eastAsia" w:ascii="仿宋_GB2312" w:hAnsi="仿宋_GB2312" w:eastAsia="仿宋_GB2312" w:cs="仿宋_GB2312"/>
                <w:b/>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086C01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33810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41B12B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4FE55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7F14EA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4EFCB4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C226C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400D178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312812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0CD66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6B47A5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7C8301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0134A5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1A8E5D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44872B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51D5EC3C">
            <w:pPr>
              <w:shd w:val="clear" w:color="auto" w:fill="FFFFFF"/>
              <w:adjustRightInd w:val="0"/>
              <w:snapToGrid w:val="0"/>
              <w:rPr>
                <w:rFonts w:hint="eastAsia" w:ascii="仿宋_GB2312" w:hAnsi="仿宋_GB2312" w:eastAsia="仿宋_GB2312" w:cs="仿宋_GB2312"/>
                <w:b/>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2B8284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5BDD91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4A5A2A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53247F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43B6B3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166523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6366E75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19F23B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307E3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515CE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D8FF4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D61C9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21CC7BBA">
            <w:pPr>
              <w:shd w:val="clear" w:color="auto" w:fill="FFFFFF"/>
              <w:adjustRightInd w:val="0"/>
              <w:snapToGrid w:val="0"/>
              <w:rPr>
                <w:rFonts w:hint="eastAsia" w:ascii="仿宋_GB2312" w:hAnsi="仿宋_GB2312" w:eastAsia="仿宋_GB2312" w:cs="仿宋_GB2312"/>
                <w:b/>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1D60EAA7">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FA3267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48F40C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6A3094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06FB70A">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D3BED6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4C231D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005E57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0351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dxa"/>
            <w:noWrap w:val="0"/>
            <w:vAlign w:val="center"/>
          </w:tcPr>
          <w:p w14:paraId="071CE8D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12</w:t>
            </w:r>
          </w:p>
        </w:tc>
        <w:tc>
          <w:tcPr>
            <w:tcW w:w="612" w:type="dxa"/>
            <w:noWrap w:val="0"/>
            <w:vAlign w:val="center"/>
          </w:tcPr>
          <w:p w14:paraId="46923F7C">
            <w:pPr>
              <w:adjustRightInd w:val="0"/>
              <w:snapToGrid w:val="0"/>
              <w:rPr>
                <w:rFonts w:hint="eastAsia" w:ascii="仿宋_GB2312" w:hAnsi="仿宋_GB2312" w:eastAsia="仿宋_GB2312" w:cs="仿宋_GB2312"/>
                <w:bCs/>
                <w:color w:val="auto"/>
                <w:kern w:val="0"/>
                <w:position w:val="-8"/>
                <w:sz w:val="18"/>
                <w:szCs w:val="18"/>
                <w:highlight w:val="none"/>
                <w:lang w:val="en-US" w:eastAsia="zh-CN" w:bidi="ar-SA"/>
              </w:rPr>
            </w:pPr>
            <w:r>
              <w:rPr>
                <w:rFonts w:hint="eastAsia" w:ascii="仿宋_GB2312" w:hAnsi="仿宋_GB2312" w:eastAsia="仿宋_GB2312" w:cs="仿宋_GB2312"/>
                <w:bCs/>
                <w:color w:val="auto"/>
                <w:sz w:val="18"/>
                <w:szCs w:val="18"/>
                <w:highlight w:val="none"/>
              </w:rPr>
              <w:t>野生动物猎捕许可</w:t>
            </w:r>
          </w:p>
        </w:tc>
        <w:tc>
          <w:tcPr>
            <w:tcW w:w="600" w:type="dxa"/>
            <w:noWrap w:val="0"/>
            <w:vAlign w:val="center"/>
          </w:tcPr>
          <w:p w14:paraId="30A22576">
            <w:pPr>
              <w:tabs>
                <w:tab w:val="left" w:pos="351"/>
              </w:tabs>
              <w:adjustRightInd w:val="0"/>
              <w:snapToGrid w:val="0"/>
              <w:rPr>
                <w:rFonts w:hint="eastAsia" w:ascii="仿宋_GB2312" w:hAnsi="仿宋_GB2312" w:eastAsia="仿宋_GB2312" w:cs="仿宋_GB2312"/>
                <w:bCs/>
                <w:color w:val="auto"/>
                <w:sz w:val="18"/>
                <w:szCs w:val="18"/>
                <w:highlight w:val="none"/>
              </w:rPr>
            </w:pPr>
          </w:p>
          <w:p w14:paraId="7323517A">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狩猎证核发</w:t>
            </w:r>
          </w:p>
        </w:tc>
        <w:tc>
          <w:tcPr>
            <w:tcW w:w="615" w:type="dxa"/>
            <w:noWrap w:val="0"/>
            <w:vAlign w:val="center"/>
          </w:tcPr>
          <w:p w14:paraId="6C2D5DCC">
            <w:pPr>
              <w:adjustRightInd w:val="0"/>
              <w:snapToGrid w:val="0"/>
              <w:jc w:val="center"/>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shd w:val="clear" w:color="auto" w:fill="FFFFFF"/>
              </w:rPr>
              <w:t>0122003003</w:t>
            </w:r>
          </w:p>
        </w:tc>
        <w:tc>
          <w:tcPr>
            <w:tcW w:w="1739" w:type="dxa"/>
            <w:noWrap w:val="0"/>
            <w:vAlign w:val="top"/>
          </w:tcPr>
          <w:p w14:paraId="1EC8105C">
            <w:pPr>
              <w:snapToGrid w:val="0"/>
              <w:spacing w:line="240" w:lineRule="exact"/>
              <w:jc w:val="left"/>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 xml:space="preserve">    【法律】《中华人民共和国野生动物保护法》（201</w:t>
            </w:r>
            <w:r>
              <w:rPr>
                <w:rFonts w:hint="eastAsia" w:ascii="仿宋_GB2312" w:hAnsi="仿宋_GB2312" w:eastAsia="仿宋_GB2312" w:cs="仿宋_GB2312"/>
                <w:bCs/>
                <w:color w:val="auto"/>
                <w:sz w:val="18"/>
                <w:szCs w:val="18"/>
                <w:highlight w:val="none"/>
                <w:lang w:val="en-US" w:eastAsia="zh-CN"/>
              </w:rPr>
              <w:t>8</w:t>
            </w:r>
            <w:r>
              <w:rPr>
                <w:rFonts w:hint="eastAsia" w:ascii="仿宋_GB2312" w:hAnsi="仿宋_GB2312" w:eastAsia="仿宋_GB2312" w:cs="仿宋_GB2312"/>
                <w:bCs/>
                <w:color w:val="auto"/>
                <w:sz w:val="18"/>
                <w:szCs w:val="18"/>
                <w:highlight w:val="none"/>
              </w:rPr>
              <w:t>年修订）</w:t>
            </w:r>
          </w:p>
          <w:p w14:paraId="390A5D10">
            <w:pPr>
              <w:widowControl/>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 xml:space="preserve"> 第二十二条  猎捕非国家重点保护野生动物的，应当依法取得县级以上地方人民政府野生动物保护主管部门核发的狩猎证，并且服从猎捕量限额管理。</w:t>
            </w:r>
          </w:p>
          <w:p w14:paraId="45680DA4">
            <w:pPr>
              <w:widowControl/>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第二十三条 猎捕者应当按照特许猎捕证、狩猎证规定的种类、数量、地点、工具、方法和期限进行猎捕。持枪猎捕的，应当依法取得公安机关核发的持枪证。</w:t>
            </w:r>
          </w:p>
          <w:p w14:paraId="4A81BF6D">
            <w:pPr>
              <w:adjustRightInd w:val="0"/>
              <w:snapToGrid w:val="0"/>
              <w:ind w:firstLine="360" w:firstLineChars="200"/>
              <w:rPr>
                <w:rFonts w:hint="eastAsia" w:ascii="仿宋_GB2312" w:hAnsi="仿宋_GB2312" w:eastAsia="仿宋_GB2312" w:cs="仿宋_GB2312"/>
                <w:bCs/>
                <w:color w:val="auto"/>
                <w:sz w:val="18"/>
                <w:szCs w:val="18"/>
                <w:highlight w:val="none"/>
                <w:shd w:val="clear" w:color="auto" w:fill="FFFFFF"/>
              </w:rPr>
            </w:pPr>
            <w:r>
              <w:rPr>
                <w:rFonts w:hint="eastAsia" w:ascii="仿宋_GB2312" w:hAnsi="仿宋_GB2312" w:eastAsia="仿宋_GB2312" w:cs="仿宋_GB2312"/>
                <w:bCs/>
                <w:color w:val="auto"/>
                <w:kern w:val="0"/>
                <w:sz w:val="18"/>
                <w:szCs w:val="18"/>
                <w:highlight w:val="none"/>
              </w:rPr>
              <w:t>【行政法规】《</w:t>
            </w:r>
            <w:r>
              <w:rPr>
                <w:rFonts w:hint="eastAsia" w:ascii="仿宋_GB2312" w:hAnsi="仿宋_GB2312" w:eastAsia="仿宋_GB2312" w:cs="仿宋_GB2312"/>
                <w:bCs/>
                <w:color w:val="auto"/>
                <w:sz w:val="18"/>
                <w:szCs w:val="18"/>
                <w:highlight w:val="none"/>
                <w:shd w:val="clear" w:color="auto" w:fill="FFFFFF"/>
              </w:rPr>
              <w:t>中华人民共和国</w:t>
            </w:r>
            <w:r>
              <w:rPr>
                <w:rFonts w:hint="eastAsia" w:ascii="仿宋_GB2312" w:hAnsi="仿宋_GB2312" w:eastAsia="仿宋_GB2312" w:cs="仿宋_GB2312"/>
                <w:bCs/>
                <w:color w:val="auto"/>
                <w:sz w:val="18"/>
                <w:szCs w:val="18"/>
                <w:highlight w:val="none"/>
                <w:shd w:val="clear" w:color="auto" w:fill="FFFFFF"/>
              </w:rPr>
              <w:fldChar w:fldCharType="begin"/>
            </w:r>
            <w:r>
              <w:rPr>
                <w:rFonts w:hint="eastAsia" w:ascii="仿宋_GB2312" w:hAnsi="仿宋_GB2312" w:eastAsia="仿宋_GB2312" w:cs="仿宋_GB2312"/>
                <w:bCs/>
                <w:color w:val="auto"/>
                <w:sz w:val="18"/>
                <w:szCs w:val="18"/>
                <w:highlight w:val="none"/>
                <w:shd w:val="clear" w:color="auto" w:fill="FFFFFF"/>
              </w:rPr>
              <w:instrText xml:space="preserve">HYPERLINK "https://baike.sogou.com/v6209747.htm"</w:instrText>
            </w:r>
            <w:r>
              <w:rPr>
                <w:rFonts w:hint="eastAsia" w:ascii="仿宋_GB2312" w:hAnsi="仿宋_GB2312" w:eastAsia="仿宋_GB2312" w:cs="仿宋_GB2312"/>
                <w:bCs/>
                <w:color w:val="auto"/>
                <w:sz w:val="18"/>
                <w:szCs w:val="18"/>
                <w:highlight w:val="none"/>
                <w:shd w:val="clear" w:color="auto" w:fill="FFFFFF"/>
              </w:rPr>
              <w:fldChar w:fldCharType="separate"/>
            </w:r>
            <w:r>
              <w:rPr>
                <w:rFonts w:hint="eastAsia" w:ascii="仿宋_GB2312" w:hAnsi="仿宋_GB2312" w:eastAsia="仿宋_GB2312" w:cs="仿宋_GB2312"/>
                <w:bCs/>
                <w:color w:val="auto"/>
                <w:sz w:val="18"/>
                <w:szCs w:val="18"/>
                <w:highlight w:val="none"/>
                <w:shd w:val="clear" w:color="auto" w:fill="FFFFFF"/>
              </w:rPr>
              <w:t>陆生野生动物保护实施条例</w:t>
            </w:r>
            <w:r>
              <w:rPr>
                <w:rFonts w:hint="eastAsia" w:ascii="仿宋_GB2312" w:hAnsi="仿宋_GB2312" w:eastAsia="仿宋_GB2312" w:cs="仿宋_GB2312"/>
                <w:bCs/>
                <w:color w:val="auto"/>
                <w:sz w:val="18"/>
                <w:szCs w:val="18"/>
                <w:highlight w:val="none"/>
                <w:shd w:val="clear" w:color="auto" w:fill="FFFFFF"/>
              </w:rPr>
              <w:fldChar w:fldCharType="end"/>
            </w:r>
            <w:r>
              <w:rPr>
                <w:rFonts w:hint="eastAsia" w:ascii="仿宋_GB2312" w:hAnsi="仿宋_GB2312" w:eastAsia="仿宋_GB2312" w:cs="仿宋_GB2312"/>
                <w:bCs/>
                <w:color w:val="auto"/>
                <w:sz w:val="18"/>
                <w:szCs w:val="18"/>
                <w:highlight w:val="none"/>
                <w:shd w:val="clear" w:color="auto" w:fill="FFFFFF"/>
              </w:rPr>
              <w:t>(2016年国务院令第666号修订)</w:t>
            </w:r>
          </w:p>
          <w:p w14:paraId="27D63FDD">
            <w:pPr>
              <w:numPr>
                <w:ilvl w:val="0"/>
                <w:numId w:val="2"/>
              </w:numPr>
              <w:adjustRightInd w:val="0"/>
              <w:snapToGrid w:val="0"/>
              <w:ind w:firstLine="360" w:firstLineChars="200"/>
              <w:jc w:val="left"/>
              <w:rPr>
                <w:rFonts w:hint="eastAsia" w:ascii="仿宋_GB2312" w:hAnsi="仿宋_GB2312" w:eastAsia="仿宋_GB2312" w:cs="仿宋_GB2312"/>
                <w:bCs/>
                <w:color w:val="auto"/>
                <w:kern w:val="2"/>
                <w:sz w:val="18"/>
                <w:szCs w:val="18"/>
                <w:highlight w:val="none"/>
                <w:shd w:val="clear" w:color="auto" w:fill="FFFFFF"/>
                <w:lang w:val="en-US" w:eastAsia="zh-CN" w:bidi="ar-SA"/>
              </w:rPr>
            </w:pPr>
            <w:r>
              <w:rPr>
                <w:rFonts w:hint="eastAsia" w:ascii="仿宋_GB2312" w:hAnsi="仿宋_GB2312" w:eastAsia="仿宋_GB2312" w:cs="仿宋_GB2312"/>
                <w:bCs/>
                <w:color w:val="auto"/>
                <w:sz w:val="18"/>
                <w:szCs w:val="18"/>
                <w:highlight w:val="none"/>
                <w:shd w:val="clear" w:color="auto" w:fill="FFFFFF"/>
              </w:rPr>
              <w:t xml:space="preserve">猎埔非国家重点保护野生动物的，必须持有狩猎证，并按照狩猎证规定的种类、数量、地点、期限、工具和方法进行猎捕。 </w:t>
            </w:r>
            <w:r>
              <w:rPr>
                <w:rFonts w:hint="eastAsia" w:ascii="仿宋_GB2312" w:hAnsi="仿宋_GB2312" w:eastAsia="仿宋_GB2312" w:cs="仿宋_GB2312"/>
                <w:bCs/>
                <w:color w:val="auto"/>
                <w:sz w:val="18"/>
                <w:szCs w:val="18"/>
                <w:highlight w:val="none"/>
              </w:rPr>
              <w:br w:type="textWrapping"/>
            </w:r>
            <w:r>
              <w:rPr>
                <w:rFonts w:hint="eastAsia" w:ascii="仿宋_GB2312" w:hAnsi="仿宋_GB2312" w:eastAsia="仿宋_GB2312" w:cs="仿宋_GB2312"/>
                <w:bCs/>
                <w:color w:val="auto"/>
                <w:sz w:val="18"/>
                <w:szCs w:val="18"/>
                <w:highlight w:val="none"/>
                <w:shd w:val="clear" w:color="auto" w:fill="FFFFFF"/>
              </w:rPr>
              <w:t xml:space="preserve">　　狩猎证由省、自治区、直辖市人民政府林业行政主管部门按照国务院林业行政主管部门的规定印制，县级人民政府野生动物行政主管部门或者其授权的单位核发。 </w:t>
            </w:r>
            <w:r>
              <w:rPr>
                <w:rFonts w:hint="eastAsia" w:ascii="仿宋_GB2312" w:hAnsi="仿宋_GB2312" w:eastAsia="仿宋_GB2312" w:cs="仿宋_GB2312"/>
                <w:bCs/>
                <w:color w:val="auto"/>
                <w:sz w:val="18"/>
                <w:szCs w:val="18"/>
                <w:highlight w:val="none"/>
              </w:rPr>
              <w:br w:type="textWrapping"/>
            </w:r>
            <w:r>
              <w:rPr>
                <w:rFonts w:hint="eastAsia" w:ascii="仿宋_GB2312" w:hAnsi="仿宋_GB2312" w:eastAsia="仿宋_GB2312" w:cs="仿宋_GB2312"/>
                <w:bCs/>
                <w:color w:val="auto"/>
                <w:sz w:val="18"/>
                <w:szCs w:val="18"/>
                <w:highlight w:val="none"/>
                <w:shd w:val="clear" w:color="auto" w:fill="FFFFFF"/>
              </w:rPr>
              <w:t>　　狩猎证每年验证一次。</w:t>
            </w:r>
          </w:p>
        </w:tc>
        <w:tc>
          <w:tcPr>
            <w:tcW w:w="585" w:type="dxa"/>
            <w:noWrap w:val="0"/>
            <w:vAlign w:val="top"/>
          </w:tcPr>
          <w:p w14:paraId="46F6FBB6">
            <w:pPr>
              <w:adjustRightInd w:val="0"/>
              <w:snapToGrid w:val="0"/>
              <w:ind w:firstLine="360" w:firstLineChars="200"/>
              <w:rPr>
                <w:rFonts w:hint="eastAsia" w:ascii="仿宋_GB2312" w:hAnsi="仿宋_GB2312" w:eastAsia="仿宋_GB2312" w:cs="仿宋_GB2312"/>
                <w:bCs/>
                <w:color w:val="auto"/>
                <w:sz w:val="18"/>
                <w:szCs w:val="18"/>
                <w:highlight w:val="none"/>
              </w:rPr>
            </w:pPr>
          </w:p>
          <w:p w14:paraId="7F159C1E">
            <w:pPr>
              <w:adjustRightInd w:val="0"/>
              <w:snapToGrid w:val="0"/>
              <w:ind w:firstLine="360" w:firstLineChars="200"/>
              <w:rPr>
                <w:rFonts w:hint="eastAsia" w:ascii="仿宋_GB2312" w:hAnsi="仿宋_GB2312" w:eastAsia="仿宋_GB2312" w:cs="仿宋_GB2312"/>
                <w:bCs/>
                <w:color w:val="auto"/>
                <w:sz w:val="18"/>
                <w:szCs w:val="18"/>
                <w:highlight w:val="none"/>
              </w:rPr>
            </w:pPr>
          </w:p>
          <w:p w14:paraId="37E403BF">
            <w:pPr>
              <w:adjustRightInd w:val="0"/>
              <w:snapToGrid w:val="0"/>
              <w:ind w:firstLine="360" w:firstLineChars="200"/>
              <w:rPr>
                <w:rFonts w:hint="eastAsia" w:ascii="仿宋_GB2312" w:hAnsi="仿宋_GB2312" w:eastAsia="仿宋_GB2312" w:cs="仿宋_GB2312"/>
                <w:bCs/>
                <w:color w:val="auto"/>
                <w:sz w:val="18"/>
                <w:szCs w:val="18"/>
                <w:highlight w:val="none"/>
              </w:rPr>
            </w:pPr>
          </w:p>
          <w:p w14:paraId="1C2A160B">
            <w:pPr>
              <w:adjustRightInd w:val="0"/>
              <w:snapToGrid w:val="0"/>
              <w:ind w:firstLine="360" w:firstLineChars="200"/>
              <w:rPr>
                <w:rFonts w:hint="eastAsia" w:ascii="仿宋_GB2312" w:hAnsi="仿宋_GB2312" w:eastAsia="仿宋_GB2312" w:cs="仿宋_GB2312"/>
                <w:bCs/>
                <w:color w:val="auto"/>
                <w:sz w:val="18"/>
                <w:szCs w:val="18"/>
                <w:highlight w:val="none"/>
              </w:rPr>
            </w:pPr>
          </w:p>
          <w:p w14:paraId="5202D674">
            <w:pPr>
              <w:adjustRightInd w:val="0"/>
              <w:snapToGrid w:val="0"/>
              <w:ind w:firstLine="360" w:firstLineChars="200"/>
              <w:rPr>
                <w:rFonts w:hint="eastAsia" w:ascii="仿宋_GB2312" w:hAnsi="仿宋_GB2312" w:eastAsia="仿宋_GB2312" w:cs="仿宋_GB2312"/>
                <w:bCs/>
                <w:color w:val="auto"/>
                <w:sz w:val="18"/>
                <w:szCs w:val="18"/>
                <w:highlight w:val="none"/>
              </w:rPr>
            </w:pPr>
          </w:p>
          <w:p w14:paraId="2AAA57E6">
            <w:pPr>
              <w:adjustRightInd w:val="0"/>
              <w:snapToGrid w:val="0"/>
              <w:ind w:firstLine="180" w:firstLineChars="10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核发狩猎证</w:t>
            </w:r>
          </w:p>
        </w:tc>
        <w:tc>
          <w:tcPr>
            <w:tcW w:w="1050" w:type="dxa"/>
            <w:noWrap w:val="0"/>
            <w:vAlign w:val="center"/>
          </w:tcPr>
          <w:p w14:paraId="44215E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54F969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0EE0DE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5F0DDD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676490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2B493E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7C9DBAEE">
            <w:pPr>
              <w:shd w:val="clear" w:color="auto" w:fill="FFFFFF"/>
              <w:adjustRightInd w:val="0"/>
              <w:snapToGrid w:val="0"/>
              <w:rPr>
                <w:rFonts w:hint="eastAsia" w:ascii="仿宋_GB2312" w:hAnsi="仿宋_GB2312" w:eastAsia="仿宋_GB2312" w:cs="仿宋_GB2312"/>
                <w:color w:val="auto"/>
                <w:sz w:val="18"/>
                <w:szCs w:val="18"/>
                <w:highlight w:val="none"/>
              </w:rPr>
            </w:pPr>
          </w:p>
          <w:p w14:paraId="59BC44BB">
            <w:pPr>
              <w:shd w:val="clear" w:color="auto" w:fill="FFFFFF"/>
              <w:adjustRightInd w:val="0"/>
              <w:snapToGrid w:val="0"/>
              <w:rPr>
                <w:rFonts w:hint="eastAsia" w:ascii="仿宋_GB2312" w:hAnsi="仿宋_GB2312" w:eastAsia="仿宋_GB2312" w:cs="仿宋_GB2312"/>
                <w:color w:val="auto"/>
                <w:sz w:val="18"/>
                <w:szCs w:val="18"/>
                <w:highlight w:val="none"/>
              </w:rPr>
            </w:pPr>
          </w:p>
          <w:p w14:paraId="10A55CD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769533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118FC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3EF1AC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2D464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24E495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6D154D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BB1AD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6C99057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6043CB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FF4EE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7048DA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6EA1FE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6A4173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22E9E2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5E2E32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45E5768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63AC39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5EEA0A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3A199C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053ECB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701F60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0FD053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5A86C80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7572B0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4C0C6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E2A06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CFE40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9E72C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5F8A7A7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703A3E9D">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76AD56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4C798D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E51758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C17DA03">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850C7D1">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070823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54585A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263F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80480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13</w:t>
            </w:r>
          </w:p>
        </w:tc>
        <w:tc>
          <w:tcPr>
            <w:tcW w:w="612" w:type="dxa"/>
            <w:noWrap w:val="0"/>
            <w:vAlign w:val="center"/>
          </w:tcPr>
          <w:p w14:paraId="69A2093C">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林木种子生产经营许可证核发</w:t>
            </w:r>
          </w:p>
        </w:tc>
        <w:tc>
          <w:tcPr>
            <w:tcW w:w="600" w:type="dxa"/>
            <w:noWrap w:val="0"/>
            <w:vAlign w:val="center"/>
          </w:tcPr>
          <w:p w14:paraId="16B97A48">
            <w:pPr>
              <w:snapToGrid w:val="0"/>
              <w:rPr>
                <w:rFonts w:hint="eastAsia" w:ascii="仿宋_GB2312" w:hAnsi="仿宋_GB2312" w:eastAsia="仿宋_GB2312" w:cs="仿宋_GB2312"/>
                <w:b/>
                <w:color w:val="auto"/>
                <w:kern w:val="2"/>
                <w:sz w:val="18"/>
                <w:szCs w:val="18"/>
                <w:highlight w:val="none"/>
                <w:lang w:val="en-US" w:eastAsia="zh-CN" w:bidi="ar-SA"/>
              </w:rPr>
            </w:pPr>
          </w:p>
        </w:tc>
        <w:tc>
          <w:tcPr>
            <w:tcW w:w="615" w:type="dxa"/>
            <w:noWrap w:val="0"/>
            <w:vAlign w:val="center"/>
          </w:tcPr>
          <w:p w14:paraId="1ED383F1">
            <w:pPr>
              <w:adjustRightInd w:val="0"/>
              <w:snapToGrid w:val="0"/>
              <w:rPr>
                <w:rFonts w:hint="eastAsia" w:ascii="仿宋_GB2312" w:hAnsi="仿宋_GB2312" w:eastAsia="仿宋_GB2312" w:cs="仿宋_GB2312"/>
                <w:b w:val="0"/>
                <w:bCs/>
                <w:color w:val="auto"/>
                <w:kern w:val="2"/>
                <w:sz w:val="18"/>
                <w:szCs w:val="18"/>
                <w:highlight w:val="none"/>
                <w:lang w:val="en-US" w:eastAsia="zh-CN" w:bidi="ar-SA"/>
              </w:rPr>
            </w:pPr>
            <w:r>
              <w:rPr>
                <w:rStyle w:val="10"/>
                <w:rFonts w:hint="eastAsia" w:ascii="仿宋_GB2312" w:hAnsi="仿宋_GB2312" w:eastAsia="仿宋_GB2312" w:cs="仿宋_GB2312"/>
                <w:b w:val="0"/>
                <w:color w:val="auto"/>
                <w:sz w:val="18"/>
                <w:szCs w:val="18"/>
                <w:highlight w:val="none"/>
              </w:rPr>
              <w:t>0122006000</w:t>
            </w:r>
          </w:p>
        </w:tc>
        <w:tc>
          <w:tcPr>
            <w:tcW w:w="1739" w:type="dxa"/>
            <w:noWrap w:val="0"/>
            <w:vAlign w:val="center"/>
          </w:tcPr>
          <w:p w14:paraId="14F5B3E3">
            <w:pPr>
              <w:widowControl/>
              <w:adjustRightInd w:val="0"/>
              <w:snapToGrid w:val="0"/>
              <w:ind w:firstLine="360" w:firstLineChars="200"/>
              <w:rPr>
                <w:rFonts w:hint="eastAsia" w:ascii="仿宋_GB2312" w:hAnsi="仿宋_GB2312" w:eastAsia="仿宋_GB2312" w:cs="仿宋_GB2312"/>
                <w:color w:val="auto"/>
                <w:kern w:val="0"/>
                <w:sz w:val="18"/>
                <w:szCs w:val="18"/>
                <w:highlight w:val="none"/>
                <w:lang w:eastAsia="zh-CN"/>
              </w:rPr>
            </w:pPr>
            <w:r>
              <w:rPr>
                <w:rFonts w:hint="eastAsia" w:ascii="仿宋_GB2312" w:hAnsi="仿宋_GB2312" w:eastAsia="仿宋_GB2312" w:cs="仿宋_GB2312"/>
                <w:color w:val="auto"/>
                <w:sz w:val="18"/>
                <w:szCs w:val="18"/>
                <w:highlight w:val="none"/>
              </w:rPr>
              <w:t>【法律】《中华人</w:t>
            </w:r>
            <w:r>
              <w:rPr>
                <w:rFonts w:hint="eastAsia" w:ascii="仿宋_GB2312" w:hAnsi="仿宋_GB2312" w:eastAsia="仿宋_GB2312" w:cs="仿宋_GB2312"/>
                <w:color w:val="auto"/>
                <w:sz w:val="18"/>
                <w:szCs w:val="18"/>
                <w:highlight w:val="none"/>
                <w:lang w:eastAsia="zh-CN"/>
              </w:rPr>
              <w:t>民共和国种子法》（2021年修订）</w:t>
            </w:r>
          </w:p>
          <w:p w14:paraId="2616B31A">
            <w:pPr>
              <w:widowControl/>
              <w:adjustRightInd w:val="0"/>
              <w:snapToGrid w:val="0"/>
              <w:ind w:firstLine="360" w:firstLineChars="20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第三十一条　从事种子进出口业务的种子生产经营许可证，由国务院农业农村、林业草原主管部门核发。国务院农业农村、林业草原主管部门可以委托省、自治区、直辖市人民政府农业农村、林业草原主管部门接收申请材料。</w:t>
            </w:r>
          </w:p>
          <w:p w14:paraId="7590B232">
            <w:pPr>
              <w:widowControl/>
              <w:adjustRightInd w:val="0"/>
              <w:snapToGrid w:val="0"/>
              <w:ind w:firstLine="360" w:firstLineChars="20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从事主要农作物杂交种子及其亲本种子、林木良种繁殖材料生产经营的，以及符合国务院农业农村主管部门规定条件的实行选育生产经营相结合的农作物种子企业的种子生产经营许可证，由省、自治区、直辖市人民政府农业农村、林业草原主管部门核发。</w:t>
            </w:r>
          </w:p>
          <w:p w14:paraId="5B4B17E6">
            <w:pPr>
              <w:widowControl/>
              <w:adjustRightInd w:val="0"/>
              <w:snapToGrid w:val="0"/>
              <w:ind w:firstLine="360" w:firstLineChars="20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前两款规定以外的其他种子的生产经营许可证，由生产经营者所在地县级以上地方人民政府农业农村、林业草原主管部门核发。</w:t>
            </w:r>
          </w:p>
          <w:p w14:paraId="2159CB62">
            <w:pPr>
              <w:widowControl/>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只从事非主要农作物种子和非主要林木种子生产的，不需要办理种子生产经营许可证。</w:t>
            </w:r>
          </w:p>
        </w:tc>
        <w:tc>
          <w:tcPr>
            <w:tcW w:w="585" w:type="dxa"/>
            <w:noWrap w:val="0"/>
            <w:vAlign w:val="center"/>
          </w:tcPr>
          <w:p w14:paraId="601D38A9">
            <w:pPr>
              <w:widowControl/>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bidi="ar-SA"/>
              </w:rPr>
              <w:t>除从事种子进出口业务的种子和从事林木良种种子以外的普通林木种子生产经营许可证</w:t>
            </w:r>
          </w:p>
        </w:tc>
        <w:tc>
          <w:tcPr>
            <w:tcW w:w="1050" w:type="dxa"/>
            <w:noWrap w:val="0"/>
            <w:vAlign w:val="center"/>
          </w:tcPr>
          <w:p w14:paraId="4CD083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155D24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03C66D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6A36C0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38C337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1B5AEE72">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2200EE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85442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188510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F8C92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1ABF9F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549CD9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CC359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0568CAD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2CFC0E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96478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227C46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6687B0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07B546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4FCD9C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7DC20F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1F99596B">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78C0CE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46D087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3D3E0B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5B284B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165153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64D6FB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7D708AB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04D02C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1D470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BC6DD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C8892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BDAEC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5E68E243">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633BE46D">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D7443A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262904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7D0A6A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0EF97BA">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1E56A56">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8C76BF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AF40E5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17E5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1B26A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14</w:t>
            </w:r>
          </w:p>
        </w:tc>
        <w:tc>
          <w:tcPr>
            <w:tcW w:w="612" w:type="dxa"/>
            <w:noWrap w:val="0"/>
            <w:vAlign w:val="center"/>
          </w:tcPr>
          <w:p w14:paraId="2D43C3EF">
            <w:pPr>
              <w:adjustRightInd w:val="0"/>
              <w:snapToGrid w:val="0"/>
              <w:rPr>
                <w:rFonts w:hint="eastAsia" w:ascii="仿宋_GB2312" w:hAnsi="仿宋_GB2312" w:eastAsia="仿宋_GB2312" w:cs="仿宋_GB2312"/>
                <w:bCs/>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采集国家一级保护野生植物（草原类）审批</w:t>
            </w:r>
          </w:p>
        </w:tc>
        <w:tc>
          <w:tcPr>
            <w:tcW w:w="600" w:type="dxa"/>
            <w:noWrap w:val="0"/>
            <w:vAlign w:val="center"/>
          </w:tcPr>
          <w:p w14:paraId="1F5112F6">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57031461">
            <w:pPr>
              <w:adjustRightInd w:val="0"/>
              <w:snapToGrid w:val="0"/>
              <w:rPr>
                <w:rFonts w:hint="eastAsia" w:ascii="仿宋_GB2312" w:hAnsi="仿宋_GB2312" w:eastAsia="仿宋_GB2312" w:cs="仿宋_GB2312"/>
                <w:b w:val="0"/>
                <w:bCs/>
                <w:color w:val="auto"/>
                <w:kern w:val="2"/>
                <w:sz w:val="18"/>
                <w:szCs w:val="18"/>
                <w:highlight w:val="none"/>
                <w:shd w:val="clear" w:color="auto" w:fill="FFFFFF"/>
                <w:lang w:val="en-US" w:eastAsia="zh-CN" w:bidi="ar-SA"/>
              </w:rPr>
            </w:pPr>
            <w:r>
              <w:rPr>
                <w:rFonts w:hint="eastAsia" w:ascii="仿宋_GB2312" w:hAnsi="仿宋_GB2312" w:eastAsia="仿宋_GB2312" w:cs="仿宋_GB2312"/>
                <w:color w:val="auto"/>
                <w:kern w:val="0"/>
                <w:sz w:val="18"/>
                <w:szCs w:val="18"/>
                <w:highlight w:val="none"/>
              </w:rPr>
              <w:t>0122066000</w:t>
            </w:r>
          </w:p>
        </w:tc>
        <w:tc>
          <w:tcPr>
            <w:tcW w:w="1739" w:type="dxa"/>
            <w:noWrap w:val="0"/>
            <w:vAlign w:val="center"/>
          </w:tcPr>
          <w:p w14:paraId="671FB0DD">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【行政法规】《中华人民共和国野生植物保护条例》（</w:t>
            </w:r>
            <w:r>
              <w:rPr>
                <w:rFonts w:hint="eastAsia" w:ascii="仿宋_GB2312" w:hAnsi="仿宋_GB2312" w:eastAsia="仿宋_GB2312" w:cs="仿宋_GB2312"/>
                <w:color w:val="auto"/>
                <w:kern w:val="0"/>
                <w:sz w:val="18"/>
                <w:szCs w:val="18"/>
                <w:highlight w:val="none"/>
                <w:lang w:val="en-US" w:eastAsia="zh-CN"/>
              </w:rPr>
              <w:t>2017</w:t>
            </w:r>
            <w:r>
              <w:rPr>
                <w:rFonts w:hint="eastAsia" w:ascii="仿宋_GB2312" w:hAnsi="仿宋_GB2312" w:eastAsia="仿宋_GB2312" w:cs="仿宋_GB2312"/>
                <w:color w:val="auto"/>
                <w:kern w:val="0"/>
                <w:sz w:val="18"/>
                <w:szCs w:val="18"/>
                <w:highlight w:val="none"/>
              </w:rPr>
              <w:t>年国务院令第</w:t>
            </w:r>
            <w:r>
              <w:rPr>
                <w:rFonts w:hint="eastAsia" w:ascii="仿宋_GB2312" w:hAnsi="仿宋_GB2312" w:eastAsia="仿宋_GB2312" w:cs="仿宋_GB2312"/>
                <w:color w:val="auto"/>
                <w:kern w:val="0"/>
                <w:sz w:val="18"/>
                <w:szCs w:val="18"/>
                <w:highlight w:val="none"/>
                <w:lang w:val="en-US" w:eastAsia="zh-CN"/>
              </w:rPr>
              <w:t>687</w:t>
            </w:r>
            <w:r>
              <w:rPr>
                <w:rFonts w:hint="eastAsia" w:ascii="仿宋_GB2312" w:hAnsi="仿宋_GB2312" w:eastAsia="仿宋_GB2312" w:cs="仿宋_GB2312"/>
                <w:color w:val="auto"/>
                <w:kern w:val="0"/>
                <w:sz w:val="18"/>
                <w:szCs w:val="18"/>
                <w:highlight w:val="none"/>
              </w:rPr>
              <w:t>号）</w:t>
            </w:r>
          </w:p>
          <w:p w14:paraId="62EBF939">
            <w:pPr>
              <w:adjustRightInd w:val="0"/>
              <w:snapToGrid w:val="0"/>
              <w:ind w:firstLine="360" w:firstLineChars="200"/>
              <w:jc w:val="left"/>
              <w:rPr>
                <w:rFonts w:hint="eastAsia" w:ascii="仿宋_GB2312" w:hAnsi="仿宋_GB2312" w:eastAsia="仿宋_GB2312" w:cs="仿宋_GB2312"/>
                <w:color w:val="auto"/>
                <w:kern w:val="0"/>
                <w:sz w:val="18"/>
                <w:szCs w:val="18"/>
                <w:highlight w:val="none"/>
                <w:lang w:val="en-US" w:eastAsia="zh-CN"/>
              </w:rPr>
            </w:pPr>
            <w:r>
              <w:rPr>
                <w:rFonts w:hint="eastAsia" w:ascii="仿宋_GB2312" w:hAnsi="仿宋_GB2312" w:eastAsia="仿宋_GB2312" w:cs="仿宋_GB2312"/>
                <w:color w:val="auto"/>
                <w:kern w:val="0"/>
                <w:sz w:val="18"/>
                <w:szCs w:val="18"/>
                <w:highlight w:val="none"/>
              </w:rPr>
              <w:t>第十六条第一款禁止采集国家一级保护野生植物。因科学研究、工人培育、文化交流等特殊需要，采集国家一级保护野生植物的，</w:t>
            </w:r>
            <w:r>
              <w:rPr>
                <w:rFonts w:hint="eastAsia" w:ascii="仿宋_GB2312" w:hAnsi="仿宋_GB2312" w:eastAsia="仿宋_GB2312" w:cs="仿宋_GB2312"/>
                <w:color w:val="auto"/>
                <w:kern w:val="0"/>
                <w:sz w:val="18"/>
                <w:szCs w:val="18"/>
                <w:highlight w:val="none"/>
                <w:lang w:val="en-US" w:eastAsia="zh-CN"/>
              </w:rPr>
              <w:t>应当按照管理权限向国务院林业行政主管部门或者其授权的机构申请采集证；或者向采集地的省、自治区、直辖市人民政府农业行政主管部门或者其授权的机构申请采集证。</w:t>
            </w:r>
          </w:p>
          <w:p w14:paraId="5866DDC4">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第三款采集城市园林或者风景名胜区内的国家一级或者二级保护野生植物的，须先征得城市园林或者风景名胜区管理机构同意，分别依照前两款的规定申请采集证。</w:t>
            </w:r>
          </w:p>
          <w:p w14:paraId="308180EF">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【国务院决定】《国务院关于取消和下放一批行政审批项目的决定》（国发〔2013〕44号）</w:t>
            </w:r>
          </w:p>
          <w:p w14:paraId="6833285D">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附件第29项采集农业主管部门管理的国家一级保护野生植物审批。处理决定：下放至省级人民政府农业（草原、渔业）行政主管部门。</w:t>
            </w:r>
          </w:p>
          <w:p w14:paraId="465A61B0">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【部门规章】《农业野生植物保护办法》（2013年农业部令第5号修订）</w:t>
            </w:r>
          </w:p>
          <w:p w14:paraId="47C4A553">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第十五条申请采集国家重点保护野生植物，应当填写《国家重点保护野生植物采集申请表》，经采集地县级农业行政主管部门签署审核意见后，向采集地省级农业行政主管部门或其授权的野生植物保护管理机构申请办理采集许可证。</w:t>
            </w:r>
          </w:p>
          <w:p w14:paraId="23B13E9F">
            <w:pPr>
              <w:widowControl/>
              <w:adjustRightInd w:val="0"/>
              <w:snapToGrid w:val="0"/>
              <w:ind w:firstLine="360" w:firstLineChars="200"/>
              <w:rPr>
                <w:rFonts w:hint="eastAsia" w:ascii="仿宋_GB2312" w:hAnsi="仿宋_GB2312" w:eastAsia="仿宋_GB2312" w:cs="仿宋_GB2312"/>
                <w:bCs/>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采集城市园林或风景名胜区内的国家重点保护野生植物，按照《条例》第十六条第三款和前款有关规定办理。</w:t>
            </w:r>
          </w:p>
        </w:tc>
        <w:tc>
          <w:tcPr>
            <w:tcW w:w="585" w:type="dxa"/>
            <w:noWrap w:val="0"/>
            <w:vAlign w:val="center"/>
          </w:tcPr>
          <w:p w14:paraId="5934C1AB">
            <w:pPr>
              <w:adjustRightInd w:val="0"/>
              <w:snapToGrid w:val="0"/>
              <w:jc w:val="center"/>
              <w:rPr>
                <w:rFonts w:hint="eastAsia" w:ascii="仿宋_GB2312" w:hAnsi="仿宋_GB2312" w:eastAsia="仿宋_GB2312" w:cs="仿宋_GB2312"/>
                <w:b w:val="0"/>
                <w:bCs/>
                <w:color w:val="auto"/>
                <w:kern w:val="2"/>
                <w:sz w:val="18"/>
                <w:szCs w:val="18"/>
                <w:highlight w:val="none"/>
                <w:shd w:val="clear" w:color="auto" w:fill="FFFFFF"/>
                <w:lang w:val="en-US" w:eastAsia="zh-CN" w:bidi="ar-SA"/>
              </w:rPr>
            </w:pPr>
            <w:r>
              <w:rPr>
                <w:rFonts w:hint="eastAsia" w:ascii="仿宋_GB2312" w:hAnsi="仿宋_GB2312" w:eastAsia="仿宋_GB2312" w:cs="仿宋_GB2312"/>
                <w:color w:val="auto"/>
                <w:sz w:val="18"/>
                <w:szCs w:val="18"/>
                <w:highlight w:val="none"/>
                <w:shd w:val="clear" w:color="auto" w:fill="FFFFFF"/>
              </w:rPr>
              <w:t>初审</w:t>
            </w:r>
          </w:p>
        </w:tc>
        <w:tc>
          <w:tcPr>
            <w:tcW w:w="1050" w:type="dxa"/>
            <w:noWrap w:val="0"/>
            <w:vAlign w:val="center"/>
          </w:tcPr>
          <w:p w14:paraId="6AF32D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24C8BF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033DD6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37D894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00FC8A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2E37FC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13C20673">
            <w:pPr>
              <w:shd w:val="clear" w:color="auto" w:fill="FFFFFF"/>
              <w:adjustRightInd w:val="0"/>
              <w:snapToGrid w:val="0"/>
              <w:rPr>
                <w:rFonts w:hint="eastAsia" w:ascii="仿宋_GB2312" w:hAnsi="仿宋_GB2312" w:eastAsia="仿宋_GB2312" w:cs="仿宋_GB2312"/>
                <w:color w:val="auto"/>
                <w:sz w:val="18"/>
                <w:szCs w:val="18"/>
                <w:highlight w:val="none"/>
              </w:rPr>
            </w:pPr>
          </w:p>
          <w:p w14:paraId="1008095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3CBF15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F3A71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05F015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700DB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37FBC9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46041B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42894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1692578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30C814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6BB83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2F3055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66B03D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48EDA6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0B4619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2B018C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3E77C5F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24AC3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02C72F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6336A3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1312F3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77A08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4A3A6F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773BA32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267984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EE43C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39AB9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29DDF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91F78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1302615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4001826C">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3F1298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CFA4FF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948D23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BF89C3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567F26A">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F803C4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7FA0DF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5345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630A5A8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15</w:t>
            </w:r>
          </w:p>
        </w:tc>
        <w:tc>
          <w:tcPr>
            <w:tcW w:w="612" w:type="dxa"/>
            <w:noWrap w:val="0"/>
            <w:vAlign w:val="center"/>
          </w:tcPr>
          <w:p w14:paraId="04EE55A7">
            <w:pPr>
              <w:keepNext w:val="0"/>
              <w:keepLines w:val="0"/>
              <w:pageBreakBefore w:val="0"/>
              <w:kinsoku/>
              <w:wordWrap/>
              <w:overflowPunct/>
              <w:topLinePunct w:val="0"/>
              <w:autoSpaceDE/>
              <w:autoSpaceDN/>
              <w:bidi w:val="0"/>
              <w:spacing w:line="240" w:lineRule="exact"/>
              <w:ind w:left="0" w:leftChars="0" w:right="0" w:rightChars="0"/>
              <w:jc w:val="both"/>
              <w:textAlignment w:val="auto"/>
              <w:outlineLvl w:val="9"/>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kern w:val="0"/>
                <w:sz w:val="18"/>
                <w:szCs w:val="18"/>
                <w:highlight w:val="none"/>
              </w:rPr>
              <w:t>植物检疫许可</w:t>
            </w:r>
          </w:p>
        </w:tc>
        <w:tc>
          <w:tcPr>
            <w:tcW w:w="600" w:type="dxa"/>
            <w:noWrap w:val="0"/>
            <w:vAlign w:val="center"/>
          </w:tcPr>
          <w:p w14:paraId="15B666B4">
            <w:pPr>
              <w:keepNext w:val="0"/>
              <w:keepLines w:val="0"/>
              <w:pageBreakBefore w:val="0"/>
              <w:kinsoku/>
              <w:wordWrap/>
              <w:overflowPunct/>
              <w:topLinePunct w:val="0"/>
              <w:autoSpaceDE/>
              <w:autoSpaceDN/>
              <w:bidi w:val="0"/>
              <w:spacing w:line="240" w:lineRule="exact"/>
              <w:ind w:left="0" w:leftChars="0" w:right="0" w:rightChars="0"/>
              <w:jc w:val="both"/>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pacing w:val="-6"/>
                <w:sz w:val="18"/>
                <w:szCs w:val="18"/>
                <w:highlight w:val="none"/>
                <w:lang w:val="zh-CN"/>
              </w:rPr>
              <w:t>林业植物检疫证书核发</w:t>
            </w:r>
          </w:p>
        </w:tc>
        <w:tc>
          <w:tcPr>
            <w:tcW w:w="615" w:type="dxa"/>
            <w:noWrap w:val="0"/>
            <w:vAlign w:val="center"/>
          </w:tcPr>
          <w:p w14:paraId="5B681DC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0122009003</w:t>
            </w:r>
          </w:p>
        </w:tc>
        <w:tc>
          <w:tcPr>
            <w:tcW w:w="1739" w:type="dxa"/>
            <w:noWrap w:val="0"/>
            <w:vAlign w:val="center"/>
          </w:tcPr>
          <w:p w14:paraId="686438DC">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【行政法规】《植物检疫条例》【</w:t>
            </w:r>
            <w:r>
              <w:rPr>
                <w:rFonts w:hint="eastAsia" w:ascii="仿宋_GB2312" w:hAnsi="仿宋_GB2312" w:eastAsia="仿宋_GB2312" w:cs="仿宋_GB2312"/>
                <w:color w:val="auto"/>
                <w:sz w:val="18"/>
                <w:szCs w:val="18"/>
                <w:highlight w:val="none"/>
              </w:rPr>
              <w:t>2017年10月7日《国务院关于修改部分行政法规的决定》修订】</w:t>
            </w:r>
          </w:p>
          <w:p w14:paraId="47D517DD">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outlineLvl w:val="9"/>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第三条第一款  县级以上地方各级农业主管部门、林业主管部门所属的植物检疫机构，负责执行国家的植物检疫任务。</w:t>
            </w:r>
          </w:p>
          <w:p w14:paraId="7D187F3F">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outlineLvl w:val="9"/>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第七条 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w:t>
            </w:r>
          </w:p>
          <w:p w14:paraId="516ED301">
            <w:pPr>
              <w:keepNext w:val="0"/>
              <w:keepLines w:val="0"/>
              <w:pageBreakBefore w:val="0"/>
              <w:kinsoku/>
              <w:wordWrap/>
              <w:overflowPunct/>
              <w:topLinePunct w:val="0"/>
              <w:autoSpaceDE/>
              <w:autoSpaceDN/>
              <w:bidi w:val="0"/>
              <w:spacing w:line="240" w:lineRule="exact"/>
              <w:ind w:left="0" w:leftChars="0" w:right="0" w:rightChars="0"/>
              <w:jc w:val="both"/>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kern w:val="0"/>
                <w:sz w:val="18"/>
                <w:szCs w:val="18"/>
                <w:highlight w:val="none"/>
              </w:rPr>
              <w:t xml:space="preserve">    第八条  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tc>
        <w:tc>
          <w:tcPr>
            <w:tcW w:w="585" w:type="dxa"/>
            <w:noWrap w:val="0"/>
            <w:vAlign w:val="center"/>
          </w:tcPr>
          <w:p w14:paraId="2BB28157">
            <w:pPr>
              <w:keepNext w:val="0"/>
              <w:keepLines w:val="0"/>
              <w:pageBreakBefore w:val="0"/>
              <w:kinsoku/>
              <w:wordWrap/>
              <w:overflowPunct/>
              <w:topLinePunct w:val="0"/>
              <w:autoSpaceDE/>
              <w:autoSpaceDN/>
              <w:bidi w:val="0"/>
              <w:spacing w:line="240" w:lineRule="exact"/>
              <w:ind w:left="0" w:leftChars="0" w:right="0" w:rightChars="0"/>
              <w:jc w:val="both"/>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kern w:val="0"/>
                <w:sz w:val="18"/>
                <w:szCs w:val="18"/>
                <w:highlight w:val="none"/>
              </w:rPr>
              <w:t>林业植物检疫证书</w:t>
            </w:r>
            <w:r>
              <w:rPr>
                <w:rFonts w:hint="eastAsia" w:ascii="仿宋_GB2312" w:hAnsi="仿宋_GB2312" w:eastAsia="仿宋_GB2312" w:cs="仿宋_GB2312"/>
                <w:bCs/>
                <w:color w:val="auto"/>
                <w:kern w:val="0"/>
                <w:sz w:val="18"/>
                <w:szCs w:val="18"/>
                <w:highlight w:val="none"/>
                <w:lang w:eastAsia="zh-CN"/>
              </w:rPr>
              <w:t>的</w:t>
            </w:r>
            <w:r>
              <w:rPr>
                <w:rFonts w:hint="eastAsia" w:ascii="仿宋_GB2312" w:hAnsi="仿宋_GB2312" w:eastAsia="仿宋_GB2312" w:cs="仿宋_GB2312"/>
                <w:bCs/>
                <w:color w:val="auto"/>
                <w:kern w:val="0"/>
                <w:sz w:val="18"/>
                <w:szCs w:val="18"/>
                <w:highlight w:val="none"/>
              </w:rPr>
              <w:t>核发</w:t>
            </w:r>
          </w:p>
        </w:tc>
        <w:tc>
          <w:tcPr>
            <w:tcW w:w="1050" w:type="dxa"/>
            <w:noWrap w:val="0"/>
            <w:vAlign w:val="center"/>
          </w:tcPr>
          <w:p w14:paraId="3A367E7A">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19AE1E75">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212D7322">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71BC7E81">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6B7EA686">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6C1FA5D6">
            <w:pPr>
              <w:keepNext w:val="0"/>
              <w:keepLines w:val="0"/>
              <w:pageBreakBefore w:val="0"/>
              <w:kinsoku/>
              <w:wordWrap/>
              <w:overflowPunct/>
              <w:topLinePunct w:val="0"/>
              <w:autoSpaceDE/>
              <w:autoSpaceDN/>
              <w:bidi w:val="0"/>
              <w:spacing w:line="240" w:lineRule="exact"/>
              <w:ind w:left="0" w:leftChars="0" w:right="0" w:rightChars="0"/>
              <w:jc w:val="both"/>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47368E0D">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486EECA">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035AC611">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31BC888">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750C5030">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483AECFA">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664BF4C">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7C8408DB">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2515DFB8">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356AE3C">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24CA6193">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48DEB0B2">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18D8F4F1">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01E0C9B6">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55561BD3">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6E9F6B96">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693AA76F">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2FEE8E33">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280E7D48">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016DF8DC">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13366D77">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58376D6F">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28364393">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75C2C78A">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3FCA2F8">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102224E">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8393ECB">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7D18950">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20D6C1B5">
            <w:pPr>
              <w:keepNext w:val="0"/>
              <w:keepLines w:val="0"/>
              <w:pageBreakBefore w:val="0"/>
              <w:kinsoku/>
              <w:wordWrap/>
              <w:overflowPunct/>
              <w:topLinePunct w:val="0"/>
              <w:autoSpaceDE/>
              <w:autoSpaceDN/>
              <w:bidi w:val="0"/>
              <w:spacing w:line="240" w:lineRule="exact"/>
              <w:ind w:left="0" w:leftChars="0" w:right="0" w:rightChars="0"/>
              <w:jc w:val="both"/>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center"/>
          </w:tcPr>
          <w:p w14:paraId="6A0E697E">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jc w:val="both"/>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390920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225" w:afterAutospacing="0" w:line="240" w:lineRule="exact"/>
              <w:ind w:left="0" w:leftChars="0" w:right="0" w:rightChars="0"/>
              <w:jc w:val="both"/>
              <w:textAlignment w:val="auto"/>
              <w:outlineLvl w:val="9"/>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DD92CE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225" w:afterAutospacing="0" w:line="240" w:lineRule="exact"/>
              <w:ind w:left="0" w:leftChars="0" w:right="0" w:rightChars="0"/>
              <w:jc w:val="both"/>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90FDC7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225" w:afterAutospacing="0" w:line="240" w:lineRule="exact"/>
              <w:ind w:left="0" w:leftChars="0" w:right="0" w:rightChars="0"/>
              <w:jc w:val="both"/>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F739A7F">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jc w:val="both"/>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ED7C2A7">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jc w:val="both"/>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250D57B">
            <w:pPr>
              <w:keepNext w:val="0"/>
              <w:keepLines w:val="0"/>
              <w:pageBreakBefore w:val="0"/>
              <w:shd w:val="clear" w:color="auto" w:fill="FFFFFF"/>
              <w:kinsoku/>
              <w:wordWrap/>
              <w:overflowPunct/>
              <w:topLinePunct w:val="0"/>
              <w:autoSpaceDE/>
              <w:autoSpaceDN/>
              <w:bidi w:val="0"/>
              <w:adjustRightInd w:val="0"/>
              <w:snapToGrid w:val="0"/>
              <w:spacing w:line="240" w:lineRule="exact"/>
              <w:ind w:left="0" w:leftChars="0" w:right="0" w:rightChars="0"/>
              <w:jc w:val="both"/>
              <w:textAlignment w:val="auto"/>
              <w:outlineLvl w:val="9"/>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2B0F7C8">
            <w:pPr>
              <w:keepNext w:val="0"/>
              <w:keepLines w:val="0"/>
              <w:pageBreakBefore w:val="0"/>
              <w:kinsoku/>
              <w:wordWrap/>
              <w:overflowPunct/>
              <w:topLinePunct w:val="0"/>
              <w:autoSpaceDE/>
              <w:autoSpaceDN/>
              <w:bidi w:val="0"/>
              <w:spacing w:line="240" w:lineRule="exact"/>
              <w:ind w:left="0" w:leftChars="0" w:right="0" w:rightChars="0"/>
              <w:jc w:val="both"/>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6ACC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5A4D3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16</w:t>
            </w:r>
          </w:p>
        </w:tc>
        <w:tc>
          <w:tcPr>
            <w:tcW w:w="612" w:type="dxa"/>
            <w:noWrap w:val="0"/>
            <w:vAlign w:val="center"/>
          </w:tcPr>
          <w:p w14:paraId="73630CA5">
            <w:pPr>
              <w:adjustRightInd w:val="0"/>
              <w:snapToGrid w:val="0"/>
              <w:rPr>
                <w:rFonts w:hint="eastAsia" w:ascii="仿宋_GB2312" w:hAnsi="仿宋_GB2312" w:eastAsia="仿宋_GB2312" w:cs="仿宋_GB2312"/>
                <w:bCs/>
                <w:color w:val="auto"/>
                <w:kern w:val="0"/>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森林防火期内进入森林防火区野外用火或进行实弹演习、爆破等活动审批</w:t>
            </w:r>
          </w:p>
        </w:tc>
        <w:tc>
          <w:tcPr>
            <w:tcW w:w="600" w:type="dxa"/>
            <w:noWrap w:val="0"/>
            <w:vAlign w:val="center"/>
          </w:tcPr>
          <w:p w14:paraId="23DEBB0D">
            <w:pPr>
              <w:snapToGrid w:val="0"/>
              <w:jc w:val="center"/>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森林防火期内在森林防火区野外用火活动审批</w:t>
            </w:r>
          </w:p>
        </w:tc>
        <w:tc>
          <w:tcPr>
            <w:tcW w:w="615" w:type="dxa"/>
            <w:noWrap w:val="0"/>
            <w:vAlign w:val="center"/>
          </w:tcPr>
          <w:p w14:paraId="488BDF75">
            <w:pPr>
              <w:widowControl/>
              <w:adjustRightInd w:val="0"/>
              <w:snapToGrid w:val="0"/>
              <w:jc w:val="center"/>
              <w:rPr>
                <w:rFonts w:hint="eastAsia" w:ascii="仿宋_GB2312" w:hAnsi="仿宋_GB2312" w:eastAsia="仿宋_GB2312" w:cs="仿宋_GB2312"/>
                <w:bCs/>
                <w:color w:val="auto"/>
                <w:kern w:val="0"/>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rPr>
              <w:t>0122010002</w:t>
            </w:r>
          </w:p>
        </w:tc>
        <w:tc>
          <w:tcPr>
            <w:tcW w:w="1739" w:type="dxa"/>
            <w:noWrap w:val="0"/>
            <w:vAlign w:val="center"/>
          </w:tcPr>
          <w:p w14:paraId="774F054C">
            <w:pPr>
              <w:adjustRightInd w:val="0"/>
              <w:snapToGrid w:val="0"/>
              <w:ind w:firstLine="360" w:firstLineChars="200"/>
              <w:jc w:val="left"/>
              <w:rPr>
                <w:rFonts w:hint="eastAsia" w:ascii="仿宋_GB2312" w:hAnsi="仿宋_GB2312" w:eastAsia="仿宋_GB2312" w:cs="仿宋_GB2312"/>
                <w:bCs/>
                <w:color w:val="auto"/>
                <w:sz w:val="18"/>
                <w:szCs w:val="18"/>
                <w:highlight w:val="none"/>
                <w:shd w:val="clear" w:color="auto" w:fill="FFFFFF"/>
                <w:lang w:eastAsia="zh-CN"/>
              </w:rPr>
            </w:pPr>
            <w:r>
              <w:rPr>
                <w:rFonts w:hint="eastAsia" w:ascii="仿宋_GB2312" w:hAnsi="仿宋_GB2312" w:eastAsia="仿宋_GB2312" w:cs="仿宋_GB2312"/>
                <w:bCs/>
                <w:color w:val="auto"/>
                <w:sz w:val="18"/>
                <w:szCs w:val="18"/>
                <w:highlight w:val="none"/>
                <w:shd w:val="clear" w:color="auto" w:fill="FFFFFF"/>
              </w:rPr>
              <w:t xml:space="preserve">【行政法规】 </w:t>
            </w:r>
            <w:r>
              <w:rPr>
                <w:rFonts w:hint="eastAsia" w:ascii="仿宋_GB2312" w:hAnsi="仿宋_GB2312" w:eastAsia="仿宋_GB2312" w:cs="仿宋_GB2312"/>
                <w:bCs/>
                <w:color w:val="auto"/>
                <w:sz w:val="18"/>
                <w:szCs w:val="18"/>
                <w:highlight w:val="none"/>
                <w:shd w:val="clear" w:color="auto" w:fill="FFFFFF"/>
                <w:lang w:eastAsia="zh-CN"/>
              </w:rPr>
              <w:t>《</w:t>
            </w:r>
            <w:r>
              <w:rPr>
                <w:rFonts w:hint="eastAsia" w:ascii="仿宋_GB2312" w:hAnsi="仿宋_GB2312" w:eastAsia="仿宋_GB2312" w:cs="仿宋_GB2312"/>
                <w:b/>
                <w:bCs w:val="0"/>
                <w:color w:val="auto"/>
                <w:sz w:val="18"/>
                <w:szCs w:val="18"/>
                <w:highlight w:val="none"/>
              </w:rPr>
              <w:t>中华人民共和国森林法</w:t>
            </w:r>
            <w:r>
              <w:rPr>
                <w:rFonts w:hint="eastAsia" w:ascii="仿宋_GB2312" w:hAnsi="仿宋_GB2312" w:eastAsia="仿宋_GB2312" w:cs="仿宋_GB2312"/>
                <w:b/>
                <w:bCs w:val="0"/>
                <w:color w:val="auto"/>
                <w:sz w:val="18"/>
                <w:szCs w:val="18"/>
                <w:highlight w:val="none"/>
                <w:lang w:eastAsia="zh-CN"/>
              </w:rPr>
              <w:t>》</w:t>
            </w:r>
            <w:r>
              <w:rPr>
                <w:rFonts w:hint="eastAsia" w:ascii="仿宋_GB2312" w:hAnsi="仿宋_GB2312" w:eastAsia="仿宋_GB2312" w:cs="仿宋_GB2312"/>
                <w:b/>
                <w:bCs w:val="0"/>
                <w:color w:val="auto"/>
                <w:sz w:val="18"/>
                <w:szCs w:val="18"/>
                <w:highlight w:val="none"/>
              </w:rPr>
              <w:t>(2019修订)</w:t>
            </w:r>
            <w:r>
              <w:rPr>
                <w:rFonts w:hint="eastAsia" w:ascii="仿宋_GB2312" w:hAnsi="仿宋_GB2312" w:eastAsia="仿宋_GB2312" w:cs="仿宋_GB2312"/>
                <w:bCs/>
                <w:color w:val="auto"/>
                <w:sz w:val="18"/>
                <w:szCs w:val="18"/>
                <w:highlight w:val="none"/>
                <w:shd w:val="clear" w:color="auto" w:fill="FFFFFF"/>
              </w:rPr>
              <w:t>第二十五条 森林防火期内，禁止在森林防火区野外用火。因防治病虫鼠害、冻害等特殊情况确需野外用火的，应当经县级人民政府批准，并按照要求采取防火措施，严防失火</w:t>
            </w:r>
            <w:r>
              <w:rPr>
                <w:rFonts w:hint="eastAsia" w:ascii="仿宋_GB2312" w:hAnsi="仿宋_GB2312" w:eastAsia="仿宋_GB2312" w:cs="仿宋_GB2312"/>
                <w:bCs/>
                <w:color w:val="auto"/>
                <w:sz w:val="18"/>
                <w:szCs w:val="18"/>
                <w:highlight w:val="none"/>
                <w:shd w:val="clear" w:color="auto" w:fill="FFFFFF"/>
                <w:lang w:eastAsia="zh-CN"/>
              </w:rPr>
              <w:t>。</w:t>
            </w:r>
          </w:p>
          <w:p w14:paraId="2E23228A">
            <w:pPr>
              <w:adjustRightInd w:val="0"/>
              <w:snapToGrid w:val="0"/>
              <w:ind w:firstLine="360" w:firstLineChars="200"/>
              <w:jc w:val="left"/>
              <w:rPr>
                <w:rFonts w:hint="eastAsia" w:ascii="仿宋_GB2312" w:hAnsi="仿宋_GB2312" w:eastAsia="仿宋_GB2312" w:cs="仿宋_GB2312"/>
                <w:bCs/>
                <w:color w:val="auto"/>
                <w:sz w:val="18"/>
                <w:szCs w:val="18"/>
                <w:highlight w:val="none"/>
                <w:shd w:val="clear" w:color="auto" w:fill="FFFFFF"/>
              </w:rPr>
            </w:pPr>
            <w:r>
              <w:rPr>
                <w:rFonts w:hint="eastAsia" w:ascii="仿宋_GB2312" w:hAnsi="仿宋_GB2312" w:eastAsia="仿宋_GB2312" w:cs="仿宋_GB2312"/>
                <w:bCs/>
                <w:color w:val="auto"/>
                <w:sz w:val="18"/>
                <w:szCs w:val="18"/>
                <w:highlight w:val="none"/>
                <w:shd w:val="clear" w:color="auto" w:fill="FFFFFF"/>
              </w:rPr>
              <w:t>【</w:t>
            </w:r>
            <w:r>
              <w:rPr>
                <w:rFonts w:hint="eastAsia" w:ascii="仿宋_GB2312" w:hAnsi="仿宋_GB2312" w:eastAsia="仿宋_GB2312" w:cs="仿宋_GB2312"/>
                <w:bCs/>
                <w:color w:val="auto"/>
                <w:sz w:val="18"/>
                <w:szCs w:val="18"/>
                <w:highlight w:val="none"/>
                <w:shd w:val="clear" w:color="auto" w:fill="FFFFFF"/>
                <w:lang w:eastAsia="zh-CN"/>
              </w:rPr>
              <w:t>地方性</w:t>
            </w:r>
            <w:r>
              <w:rPr>
                <w:rFonts w:hint="eastAsia" w:ascii="仿宋_GB2312" w:hAnsi="仿宋_GB2312" w:eastAsia="仿宋_GB2312" w:cs="仿宋_GB2312"/>
                <w:bCs/>
                <w:color w:val="auto"/>
                <w:sz w:val="18"/>
                <w:szCs w:val="18"/>
                <w:highlight w:val="none"/>
                <w:shd w:val="clear" w:color="auto" w:fill="FFFFFF"/>
              </w:rPr>
              <w:t>法规】 《</w:t>
            </w:r>
            <w:r>
              <w:rPr>
                <w:rFonts w:hint="eastAsia" w:ascii="仿宋_GB2312" w:hAnsi="仿宋_GB2312" w:eastAsia="仿宋_GB2312" w:cs="仿宋_GB2312"/>
                <w:bCs/>
                <w:color w:val="auto"/>
                <w:sz w:val="18"/>
                <w:szCs w:val="18"/>
                <w:highlight w:val="none"/>
                <w:shd w:val="clear" w:color="auto" w:fill="FFFFFF"/>
                <w:lang w:eastAsia="zh-CN"/>
              </w:rPr>
              <w:t>宁夏回族自治区森林防火办法</w:t>
            </w:r>
            <w:r>
              <w:rPr>
                <w:rFonts w:hint="eastAsia" w:ascii="仿宋_GB2312" w:hAnsi="仿宋_GB2312" w:eastAsia="仿宋_GB2312" w:cs="仿宋_GB2312"/>
                <w:bCs/>
                <w:color w:val="auto"/>
                <w:sz w:val="18"/>
                <w:szCs w:val="18"/>
                <w:highlight w:val="none"/>
                <w:shd w:val="clear" w:color="auto" w:fill="FFFFFF"/>
              </w:rPr>
              <w:t>》（20</w:t>
            </w:r>
            <w:r>
              <w:rPr>
                <w:rFonts w:hint="eastAsia" w:ascii="仿宋_GB2312" w:hAnsi="仿宋_GB2312" w:eastAsia="仿宋_GB2312" w:cs="仿宋_GB2312"/>
                <w:bCs/>
                <w:color w:val="auto"/>
                <w:sz w:val="18"/>
                <w:szCs w:val="18"/>
                <w:highlight w:val="none"/>
                <w:shd w:val="clear" w:color="auto" w:fill="FFFFFF"/>
                <w:lang w:val="en-US" w:eastAsia="zh-CN"/>
              </w:rPr>
              <w:t>16</w:t>
            </w:r>
            <w:r>
              <w:rPr>
                <w:rFonts w:hint="eastAsia" w:ascii="仿宋_GB2312" w:hAnsi="仿宋_GB2312" w:eastAsia="仿宋_GB2312" w:cs="仿宋_GB2312"/>
                <w:bCs/>
                <w:color w:val="auto"/>
                <w:sz w:val="18"/>
                <w:szCs w:val="18"/>
                <w:highlight w:val="none"/>
                <w:shd w:val="clear" w:color="auto" w:fill="FFFFFF"/>
              </w:rPr>
              <w:t>年</w:t>
            </w:r>
            <w:r>
              <w:rPr>
                <w:rFonts w:hint="eastAsia" w:ascii="仿宋_GB2312" w:hAnsi="仿宋_GB2312" w:eastAsia="仿宋_GB2312" w:cs="仿宋_GB2312"/>
                <w:bCs/>
                <w:color w:val="auto"/>
                <w:sz w:val="18"/>
                <w:szCs w:val="18"/>
                <w:highlight w:val="none"/>
                <w:shd w:val="clear" w:color="auto" w:fill="FFFFFF"/>
                <w:lang w:eastAsia="zh-CN"/>
              </w:rPr>
              <w:t>宁夏回族自治区人民政府令</w:t>
            </w:r>
            <w:r>
              <w:rPr>
                <w:rFonts w:hint="eastAsia" w:ascii="仿宋_GB2312" w:hAnsi="仿宋_GB2312" w:eastAsia="仿宋_GB2312" w:cs="仿宋_GB2312"/>
                <w:bCs/>
                <w:color w:val="auto"/>
                <w:sz w:val="18"/>
                <w:szCs w:val="18"/>
                <w:highlight w:val="none"/>
                <w:shd w:val="clear" w:color="auto" w:fill="FFFFFF"/>
              </w:rPr>
              <w:t>第</w:t>
            </w:r>
            <w:r>
              <w:rPr>
                <w:rFonts w:hint="eastAsia" w:ascii="仿宋_GB2312" w:hAnsi="仿宋_GB2312" w:eastAsia="仿宋_GB2312" w:cs="仿宋_GB2312"/>
                <w:bCs/>
                <w:color w:val="auto"/>
                <w:sz w:val="18"/>
                <w:szCs w:val="18"/>
                <w:highlight w:val="none"/>
                <w:shd w:val="clear" w:color="auto" w:fill="FFFFFF"/>
                <w:lang w:val="en-US" w:eastAsia="zh-CN"/>
              </w:rPr>
              <w:t>84</w:t>
            </w:r>
            <w:r>
              <w:rPr>
                <w:rFonts w:hint="eastAsia" w:ascii="仿宋_GB2312" w:hAnsi="仿宋_GB2312" w:eastAsia="仿宋_GB2312" w:cs="仿宋_GB2312"/>
                <w:bCs/>
                <w:color w:val="auto"/>
                <w:sz w:val="18"/>
                <w:szCs w:val="18"/>
                <w:highlight w:val="none"/>
                <w:shd w:val="clear" w:color="auto" w:fill="FFFFFF"/>
              </w:rPr>
              <w:t>号</w:t>
            </w:r>
            <w:r>
              <w:rPr>
                <w:rFonts w:hint="eastAsia" w:ascii="仿宋_GB2312" w:hAnsi="仿宋_GB2312" w:eastAsia="仿宋_GB2312" w:cs="仿宋_GB2312"/>
                <w:bCs/>
                <w:color w:val="auto"/>
                <w:sz w:val="18"/>
                <w:szCs w:val="18"/>
                <w:highlight w:val="none"/>
                <w:shd w:val="clear" w:color="auto" w:fill="FFFFFF"/>
                <w:lang w:eastAsia="zh-CN"/>
              </w:rPr>
              <w:t>公布</w:t>
            </w:r>
            <w:r>
              <w:rPr>
                <w:rFonts w:hint="eastAsia" w:ascii="仿宋_GB2312" w:hAnsi="仿宋_GB2312" w:eastAsia="仿宋_GB2312" w:cs="仿宋_GB2312"/>
                <w:bCs/>
                <w:color w:val="auto"/>
                <w:sz w:val="18"/>
                <w:szCs w:val="18"/>
                <w:highlight w:val="none"/>
                <w:shd w:val="clear" w:color="auto" w:fill="FFFFFF"/>
              </w:rPr>
              <w:t>）</w:t>
            </w:r>
          </w:p>
          <w:p w14:paraId="1378784D">
            <w:pPr>
              <w:adjustRightInd w:val="0"/>
              <w:snapToGrid w:val="0"/>
              <w:ind w:firstLine="360" w:firstLineChars="20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shd w:val="clear" w:color="auto" w:fill="FFFFFF"/>
              </w:rPr>
              <w:t>第</w:t>
            </w:r>
            <w:r>
              <w:rPr>
                <w:rFonts w:hint="eastAsia" w:ascii="仿宋_GB2312" w:hAnsi="仿宋_GB2312" w:eastAsia="仿宋_GB2312" w:cs="仿宋_GB2312"/>
                <w:bCs/>
                <w:color w:val="auto"/>
                <w:sz w:val="18"/>
                <w:szCs w:val="18"/>
                <w:highlight w:val="none"/>
                <w:shd w:val="clear" w:color="auto" w:fill="FFFFFF"/>
                <w:lang w:eastAsia="zh-CN"/>
              </w:rPr>
              <w:t>十六</w:t>
            </w:r>
            <w:r>
              <w:rPr>
                <w:rFonts w:hint="eastAsia" w:ascii="仿宋_GB2312" w:hAnsi="仿宋_GB2312" w:eastAsia="仿宋_GB2312" w:cs="仿宋_GB2312"/>
                <w:bCs/>
                <w:color w:val="auto"/>
                <w:sz w:val="18"/>
                <w:szCs w:val="18"/>
                <w:highlight w:val="none"/>
                <w:shd w:val="clear" w:color="auto" w:fill="FFFFFF"/>
              </w:rPr>
              <w:t>条 森林防火期内，禁止在森林防火区野外用火</w:t>
            </w:r>
            <w:r>
              <w:rPr>
                <w:rFonts w:hint="eastAsia" w:ascii="仿宋_GB2312" w:hAnsi="仿宋_GB2312" w:eastAsia="仿宋_GB2312" w:cs="仿宋_GB2312"/>
                <w:bCs/>
                <w:color w:val="auto"/>
                <w:sz w:val="18"/>
                <w:szCs w:val="18"/>
                <w:highlight w:val="none"/>
                <w:shd w:val="clear" w:color="auto" w:fill="FFFFFF"/>
                <w:lang w:eastAsia="zh-CN"/>
              </w:rPr>
              <w:t>；</w:t>
            </w:r>
            <w:r>
              <w:rPr>
                <w:rFonts w:hint="eastAsia" w:ascii="仿宋_GB2312" w:hAnsi="仿宋_GB2312" w:eastAsia="仿宋_GB2312" w:cs="仿宋_GB2312"/>
                <w:bCs/>
                <w:color w:val="auto"/>
                <w:sz w:val="18"/>
                <w:szCs w:val="18"/>
                <w:highlight w:val="none"/>
                <w:shd w:val="clear" w:color="auto" w:fill="FFFFFF"/>
              </w:rPr>
              <w:t>因防治病虫鼠害、冻害</w:t>
            </w:r>
            <w:r>
              <w:rPr>
                <w:rFonts w:hint="eastAsia" w:ascii="仿宋_GB2312" w:hAnsi="仿宋_GB2312" w:eastAsia="仿宋_GB2312" w:cs="仿宋_GB2312"/>
                <w:bCs/>
                <w:color w:val="auto"/>
                <w:sz w:val="18"/>
                <w:szCs w:val="18"/>
                <w:highlight w:val="none"/>
                <w:shd w:val="clear" w:color="auto" w:fill="FFFFFF"/>
                <w:lang w:eastAsia="zh-CN"/>
              </w:rPr>
              <w:t>、计划烧除、造林、勘查、开采矿藏和各种建设工程确需</w:t>
            </w:r>
            <w:r>
              <w:rPr>
                <w:rFonts w:hint="eastAsia" w:ascii="仿宋_GB2312" w:hAnsi="仿宋_GB2312" w:eastAsia="仿宋_GB2312" w:cs="仿宋_GB2312"/>
                <w:bCs/>
                <w:color w:val="auto"/>
                <w:sz w:val="18"/>
                <w:szCs w:val="18"/>
                <w:highlight w:val="none"/>
                <w:shd w:val="clear" w:color="auto" w:fill="FFFFFF"/>
              </w:rPr>
              <w:t>野外用火的，应当经县级人民政府批准，并按照要求采取防火措施，严防失火</w:t>
            </w:r>
            <w:r>
              <w:rPr>
                <w:rFonts w:hint="eastAsia" w:ascii="仿宋_GB2312" w:hAnsi="仿宋_GB2312" w:eastAsia="仿宋_GB2312" w:cs="仿宋_GB2312"/>
                <w:bCs/>
                <w:color w:val="auto"/>
                <w:sz w:val="18"/>
                <w:szCs w:val="18"/>
                <w:highlight w:val="none"/>
                <w:shd w:val="clear" w:color="auto" w:fill="FFFFFF"/>
                <w:lang w:eastAsia="zh-CN"/>
              </w:rPr>
              <w:t>。</w:t>
            </w:r>
          </w:p>
        </w:tc>
        <w:tc>
          <w:tcPr>
            <w:tcW w:w="585" w:type="dxa"/>
            <w:noWrap w:val="0"/>
            <w:vAlign w:val="center"/>
          </w:tcPr>
          <w:p w14:paraId="07E6DF25">
            <w:pPr>
              <w:widowControl/>
              <w:adjustRightInd w:val="0"/>
              <w:snapToGrid w:val="0"/>
              <w:jc w:val="left"/>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pacing w:val="-6"/>
                <w:sz w:val="18"/>
                <w:szCs w:val="18"/>
                <w:highlight w:val="none"/>
                <w:lang w:val="zh-CN"/>
              </w:rPr>
              <w:t>森林防火期内在森林防火区野外用火活动审批</w:t>
            </w:r>
          </w:p>
        </w:tc>
        <w:tc>
          <w:tcPr>
            <w:tcW w:w="1050" w:type="dxa"/>
            <w:noWrap w:val="0"/>
            <w:vAlign w:val="center"/>
          </w:tcPr>
          <w:p w14:paraId="7F8E1E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40050D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2DEC3A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01285B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50E652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54944F1F">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686DD9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BE008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291226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F165B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3C6ECA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761073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5A700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33456EA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4738C2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B91CE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5B9C25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62016C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6FB249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296198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3E39F5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0775811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525A49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574BD6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7E9DDB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399BF2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563B95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24827E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1CE2A03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335851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3E404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97DDE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D38E8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E56C0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2B5251F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24811C46">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24E4F9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6A8377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987C67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A2F727C">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F27B63F">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81B4E7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C2A67D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443A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78264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17</w:t>
            </w:r>
          </w:p>
        </w:tc>
        <w:tc>
          <w:tcPr>
            <w:tcW w:w="612" w:type="dxa"/>
            <w:noWrap w:val="0"/>
            <w:vAlign w:val="center"/>
          </w:tcPr>
          <w:p w14:paraId="3F50B369">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从事营利性治沙活动许可</w:t>
            </w:r>
          </w:p>
        </w:tc>
        <w:tc>
          <w:tcPr>
            <w:tcW w:w="600" w:type="dxa"/>
            <w:noWrap w:val="0"/>
            <w:vAlign w:val="center"/>
          </w:tcPr>
          <w:p w14:paraId="1A3DCEDB">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63A9364A">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0122013000</w:t>
            </w:r>
          </w:p>
        </w:tc>
        <w:tc>
          <w:tcPr>
            <w:tcW w:w="1739" w:type="dxa"/>
            <w:noWrap w:val="0"/>
            <w:vAlign w:val="center"/>
          </w:tcPr>
          <w:p w14:paraId="437DCE88">
            <w:pPr>
              <w:adjustRightInd w:val="0"/>
              <w:snapToGrid w:val="0"/>
              <w:ind w:firstLine="360" w:firstLineChars="200"/>
              <w:jc w:val="left"/>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【法律】《中华人民共和国防沙治沙法》（20</w:t>
            </w:r>
            <w:r>
              <w:rPr>
                <w:rFonts w:hint="eastAsia" w:ascii="仿宋_GB2312" w:hAnsi="仿宋_GB2312" w:eastAsia="仿宋_GB2312" w:cs="仿宋_GB2312"/>
                <w:bCs/>
                <w:color w:val="auto"/>
                <w:sz w:val="18"/>
                <w:szCs w:val="18"/>
                <w:highlight w:val="none"/>
                <w:lang w:val="en-US" w:eastAsia="zh-CN"/>
              </w:rPr>
              <w:t>18</w:t>
            </w:r>
            <w:r>
              <w:rPr>
                <w:rFonts w:hint="eastAsia" w:ascii="仿宋_GB2312" w:hAnsi="仿宋_GB2312" w:eastAsia="仿宋_GB2312" w:cs="仿宋_GB2312"/>
                <w:bCs/>
                <w:color w:val="auto"/>
                <w:sz w:val="18"/>
                <w:szCs w:val="18"/>
                <w:highlight w:val="none"/>
              </w:rPr>
              <w:t>年</w:t>
            </w:r>
            <w:r>
              <w:rPr>
                <w:rFonts w:hint="eastAsia" w:ascii="仿宋_GB2312" w:hAnsi="仿宋_GB2312" w:eastAsia="仿宋_GB2312" w:cs="仿宋_GB2312"/>
                <w:bCs/>
                <w:color w:val="auto"/>
                <w:sz w:val="18"/>
                <w:szCs w:val="18"/>
                <w:highlight w:val="none"/>
                <w:lang w:eastAsia="zh-CN"/>
              </w:rPr>
              <w:t>修正</w:t>
            </w:r>
            <w:r>
              <w:rPr>
                <w:rFonts w:hint="eastAsia" w:ascii="仿宋_GB2312" w:hAnsi="仿宋_GB2312" w:eastAsia="仿宋_GB2312" w:cs="仿宋_GB2312"/>
                <w:bCs/>
                <w:color w:val="auto"/>
                <w:sz w:val="18"/>
                <w:szCs w:val="18"/>
                <w:highlight w:val="none"/>
              </w:rPr>
              <w:t>）</w:t>
            </w:r>
          </w:p>
          <w:p w14:paraId="5FF3F6C4">
            <w:pPr>
              <w:adjustRightInd w:val="0"/>
              <w:snapToGrid w:val="0"/>
              <w:ind w:firstLine="360" w:firstLineChars="200"/>
              <w:jc w:val="left"/>
              <w:rPr>
                <w:rFonts w:hint="eastAsia" w:ascii="仿宋_GB2312" w:hAnsi="仿宋_GB2312" w:eastAsia="仿宋_GB2312" w:cs="仿宋_GB2312"/>
                <w:bCs/>
                <w:color w:val="auto"/>
                <w:sz w:val="18"/>
                <w:szCs w:val="18"/>
                <w:highlight w:val="none"/>
                <w:shd w:val="clear" w:color="auto" w:fill="FFFFFF"/>
                <w:lang w:val="en-US" w:eastAsia="zh-CN"/>
              </w:rPr>
            </w:pPr>
            <w:r>
              <w:rPr>
                <w:rFonts w:hint="eastAsia" w:ascii="仿宋_GB2312" w:hAnsi="仿宋_GB2312" w:eastAsia="仿宋_GB2312" w:cs="仿宋_GB2312"/>
                <w:bCs/>
                <w:color w:val="auto"/>
                <w:sz w:val="18"/>
                <w:szCs w:val="18"/>
                <w:highlight w:val="none"/>
                <w:shd w:val="clear" w:color="auto" w:fill="FFFFFF"/>
              </w:rPr>
              <w:t xml:space="preserve">第二十六条 </w:t>
            </w:r>
            <w:r>
              <w:rPr>
                <w:rFonts w:hint="eastAsia" w:ascii="仿宋_GB2312" w:hAnsi="仿宋_GB2312" w:eastAsia="仿宋_GB2312" w:cs="仿宋_GB2312"/>
                <w:bCs/>
                <w:color w:val="auto"/>
                <w:sz w:val="18"/>
                <w:szCs w:val="18"/>
                <w:highlight w:val="none"/>
                <w:shd w:val="clear" w:color="auto" w:fill="FFFFFF"/>
                <w:lang w:val="en-US" w:eastAsia="zh-CN"/>
              </w:rPr>
              <w:t>不具有土地所有权或者使用权的单位和个人从事营利性治沙活动的，应当先与土地所有权人或者使用权人签订协议，依法取得土地使用权。</w:t>
            </w:r>
          </w:p>
          <w:p w14:paraId="4FDD340B">
            <w:pPr>
              <w:adjustRightInd w:val="0"/>
              <w:snapToGrid w:val="0"/>
              <w:ind w:firstLine="360" w:firstLineChars="200"/>
              <w:jc w:val="left"/>
              <w:rPr>
                <w:rFonts w:hint="eastAsia" w:ascii="仿宋_GB2312" w:hAnsi="仿宋_GB2312" w:eastAsia="仿宋_GB2312" w:cs="仿宋_GB2312"/>
                <w:bCs/>
                <w:color w:val="auto"/>
                <w:sz w:val="18"/>
                <w:szCs w:val="18"/>
                <w:highlight w:val="none"/>
                <w:shd w:val="clear" w:color="auto" w:fill="FFFFFF"/>
              </w:rPr>
            </w:pPr>
            <w:r>
              <w:rPr>
                <w:rFonts w:hint="eastAsia" w:ascii="仿宋_GB2312" w:hAnsi="仿宋_GB2312" w:eastAsia="仿宋_GB2312" w:cs="仿宋_GB2312"/>
                <w:bCs/>
                <w:color w:val="auto"/>
                <w:sz w:val="18"/>
                <w:szCs w:val="18"/>
                <w:highlight w:val="none"/>
                <w:shd w:val="clear" w:color="auto" w:fill="FFFFFF"/>
                <w:lang w:val="en-US" w:eastAsia="zh-CN"/>
              </w:rPr>
              <w:t>在治理活动开始之前，从事营利性治沙活动的单位和个人应当向治理项目所在地的县级以上地方人民政府林业草原行政主管部门或者县级以上地方人民政府指定的其他行政主管部门提出治理申请。</w:t>
            </w:r>
          </w:p>
          <w:p w14:paraId="2B0F10DE">
            <w:pPr>
              <w:adjustRightInd w:val="0"/>
              <w:snapToGrid w:val="0"/>
              <w:ind w:firstLine="360" w:firstLineChars="200"/>
              <w:jc w:val="left"/>
              <w:rPr>
                <w:rFonts w:hint="eastAsia" w:ascii="仿宋_GB2312" w:hAnsi="仿宋_GB2312" w:eastAsia="仿宋_GB2312" w:cs="仿宋_GB2312"/>
                <w:bCs/>
                <w:color w:val="auto"/>
                <w:sz w:val="18"/>
                <w:szCs w:val="18"/>
                <w:highlight w:val="none"/>
                <w:shd w:val="clear" w:color="auto" w:fill="FFFFFF"/>
                <w:lang w:val="en-US" w:eastAsia="zh-CN"/>
              </w:rPr>
            </w:pPr>
            <w:r>
              <w:rPr>
                <w:rFonts w:hint="eastAsia" w:ascii="仿宋_GB2312" w:hAnsi="仿宋_GB2312" w:eastAsia="仿宋_GB2312" w:cs="仿宋_GB2312"/>
                <w:bCs/>
                <w:color w:val="auto"/>
                <w:sz w:val="18"/>
                <w:szCs w:val="18"/>
                <w:highlight w:val="none"/>
                <w:shd w:val="clear" w:color="auto" w:fill="FFFFFF"/>
                <w:lang w:val="en-US" w:eastAsia="zh-CN"/>
              </w:rPr>
              <w:t>【行政法规】《营利性治沙管理办法》（2004年国家林业局令第11号）</w:t>
            </w:r>
          </w:p>
          <w:p w14:paraId="68D5C499">
            <w:pPr>
              <w:adjustRightInd w:val="0"/>
              <w:snapToGrid w:val="0"/>
              <w:ind w:firstLine="360" w:firstLineChars="200"/>
              <w:jc w:val="left"/>
              <w:rPr>
                <w:rFonts w:hint="eastAsia" w:ascii="仿宋_GB2312" w:hAnsi="仿宋_GB2312" w:eastAsia="仿宋_GB2312" w:cs="仿宋_GB2312"/>
                <w:bCs/>
                <w:color w:val="auto"/>
                <w:sz w:val="18"/>
                <w:szCs w:val="18"/>
                <w:highlight w:val="none"/>
                <w:shd w:val="clear" w:color="auto" w:fill="FFFFFF"/>
                <w:lang w:val="en-US" w:eastAsia="zh-CN"/>
              </w:rPr>
            </w:pPr>
            <w:r>
              <w:rPr>
                <w:rFonts w:hint="eastAsia" w:ascii="仿宋_GB2312" w:hAnsi="仿宋_GB2312" w:eastAsia="仿宋_GB2312" w:cs="仿宋_GB2312"/>
                <w:bCs/>
                <w:color w:val="auto"/>
                <w:sz w:val="18"/>
                <w:szCs w:val="18"/>
                <w:highlight w:val="none"/>
                <w:shd w:val="clear" w:color="auto" w:fill="FFFFFF"/>
                <w:lang w:val="en-US" w:eastAsia="zh-CN"/>
              </w:rPr>
              <w:t>第三条 县级以上地方人民政府林业行政主管部门负责营利性治沙活动的受理申请和检查验收等管理工作。</w:t>
            </w:r>
          </w:p>
          <w:p w14:paraId="70C31389">
            <w:pPr>
              <w:adjustRightInd w:val="0"/>
              <w:snapToGrid w:val="0"/>
              <w:ind w:firstLine="360" w:firstLineChars="20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shd w:val="clear" w:color="auto" w:fill="FFFFFF"/>
                <w:lang w:val="en-US" w:eastAsia="zh-CN"/>
              </w:rPr>
              <w:t>第五条 营利性治沙涉及的沙化土地在县级行政区域范围内的,由所在地的县级人民政府林业行政主管部门负责受理申请;跨县(市)、设区的市、自治州行政区域范围的,由其共同上一级地方人民政府林业行政主管部门负责受理申请。</w:t>
            </w:r>
          </w:p>
        </w:tc>
        <w:tc>
          <w:tcPr>
            <w:tcW w:w="585" w:type="dxa"/>
            <w:noWrap w:val="0"/>
            <w:vAlign w:val="center"/>
          </w:tcPr>
          <w:p w14:paraId="29B772D1">
            <w:pPr>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从事营利性治沙活动许可</w:t>
            </w:r>
          </w:p>
        </w:tc>
        <w:tc>
          <w:tcPr>
            <w:tcW w:w="1050" w:type="dxa"/>
            <w:noWrap w:val="0"/>
            <w:vAlign w:val="center"/>
          </w:tcPr>
          <w:p w14:paraId="75C65D3D">
            <w:pPr>
              <w:shd w:val="clear" w:color="auto" w:fill="FFFFFF"/>
              <w:adjustRightInd w:val="0"/>
              <w:snapToGrid w:val="0"/>
              <w:rPr>
                <w:rFonts w:hint="eastAsia" w:ascii="仿宋_GB2312" w:hAnsi="仿宋_GB2312" w:eastAsia="仿宋_GB2312" w:cs="仿宋_GB2312"/>
                <w:color w:val="auto"/>
                <w:sz w:val="18"/>
                <w:szCs w:val="18"/>
                <w:highlight w:val="none"/>
              </w:rPr>
            </w:pPr>
          </w:p>
          <w:p w14:paraId="17D863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600515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6547A0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69A76D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68AEC0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3ED839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7370E30E">
            <w:pPr>
              <w:shd w:val="clear" w:color="auto" w:fill="FFFFFF"/>
              <w:adjustRightInd w:val="0"/>
              <w:snapToGrid w:val="0"/>
              <w:rPr>
                <w:rFonts w:hint="eastAsia" w:ascii="仿宋_GB2312" w:hAnsi="仿宋_GB2312" w:eastAsia="仿宋_GB2312" w:cs="仿宋_GB2312"/>
                <w:color w:val="auto"/>
                <w:sz w:val="18"/>
                <w:szCs w:val="18"/>
                <w:highlight w:val="none"/>
              </w:rPr>
            </w:pPr>
          </w:p>
          <w:p w14:paraId="3B0C90F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3C4666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F4FB6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1927CC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95AF5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503E4A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1DE4E9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5A8EF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2CB14EF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1E0AD1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F64B2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46129F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5D5A03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2DA891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7781A6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3B5E0D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6D23FD8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4BC2E0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42A589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1C0849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450DC1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721D68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7C81D6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6371D05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0A6368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05E74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4D6A5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94B4C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D2725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0B788CE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21A9D2B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A3AE6E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CECEF3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EF1293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72BC9E0">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BD78D4B">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D1D228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AB286E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1AB7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3A3A354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18</w:t>
            </w:r>
          </w:p>
        </w:tc>
        <w:tc>
          <w:tcPr>
            <w:tcW w:w="612" w:type="dxa"/>
            <w:noWrap w:val="0"/>
            <w:vAlign w:val="center"/>
          </w:tcPr>
          <w:p w14:paraId="074F00BA">
            <w:pPr>
              <w:widowControl/>
              <w:adjustRightInd w:val="0"/>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林木采伐许可证核发</w:t>
            </w:r>
          </w:p>
        </w:tc>
        <w:tc>
          <w:tcPr>
            <w:tcW w:w="600" w:type="dxa"/>
            <w:noWrap w:val="0"/>
            <w:vAlign w:val="center"/>
          </w:tcPr>
          <w:p w14:paraId="029269DF">
            <w:pPr>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center"/>
          </w:tcPr>
          <w:p w14:paraId="012B7D6F">
            <w:pPr>
              <w:pStyle w:val="13"/>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shd w:val="clear" w:color="auto" w:fill="FFFFFF"/>
              </w:rPr>
              <w:t>0122015000</w:t>
            </w:r>
          </w:p>
        </w:tc>
        <w:tc>
          <w:tcPr>
            <w:tcW w:w="1739" w:type="dxa"/>
            <w:noWrap w:val="0"/>
            <w:vAlign w:val="center"/>
          </w:tcPr>
          <w:p w14:paraId="71D76587">
            <w:pPr>
              <w:pStyle w:val="14"/>
              <w:keepNext w:val="0"/>
              <w:keepLines w:val="0"/>
              <w:pageBreakBefore w:val="0"/>
              <w:kinsoku/>
              <w:wordWrap/>
              <w:overflowPunct/>
              <w:topLinePunct w:val="0"/>
              <w:autoSpaceDE/>
              <w:bidi w:val="0"/>
              <w:adjustRightInd w:val="0"/>
              <w:snapToGrid w:val="0"/>
              <w:spacing w:line="240" w:lineRule="auto"/>
              <w:ind w:firstLine="360" w:firstLineChars="20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59A7CF4C">
            <w:pPr>
              <w:pStyle w:val="14"/>
              <w:keepNext w:val="0"/>
              <w:keepLines w:val="0"/>
              <w:pageBreakBefore w:val="0"/>
              <w:kinsoku/>
              <w:wordWrap/>
              <w:overflowPunct/>
              <w:topLinePunct w:val="0"/>
              <w:autoSpaceDE/>
              <w:bidi w:val="0"/>
              <w:adjustRightInd w:val="0"/>
              <w:snapToGrid w:val="0"/>
              <w:spacing w:line="240" w:lineRule="auto"/>
              <w:ind w:firstLine="360" w:firstLineChars="200"/>
              <w:textAlignment w:val="auto"/>
              <w:outlineLvl w:val="9"/>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第</w:t>
            </w:r>
            <w:r>
              <w:rPr>
                <w:rFonts w:hint="eastAsia" w:ascii="仿宋_GB2312" w:hAnsi="仿宋_GB2312" w:eastAsia="仿宋_GB2312" w:cs="仿宋_GB2312"/>
                <w:color w:val="auto"/>
                <w:sz w:val="18"/>
                <w:szCs w:val="18"/>
                <w:highlight w:val="none"/>
                <w:lang w:eastAsia="zh-CN"/>
              </w:rPr>
              <w:t>五</w:t>
            </w:r>
            <w:r>
              <w:rPr>
                <w:rFonts w:hint="eastAsia" w:ascii="仿宋_GB2312" w:hAnsi="仿宋_GB2312" w:eastAsia="仿宋_GB2312" w:cs="仿宋_GB2312"/>
                <w:color w:val="auto"/>
                <w:sz w:val="18"/>
                <w:szCs w:val="18"/>
                <w:highlight w:val="none"/>
              </w:rPr>
              <w:t>十</w:t>
            </w:r>
            <w:r>
              <w:rPr>
                <w:rFonts w:hint="eastAsia" w:ascii="仿宋_GB2312" w:hAnsi="仿宋_GB2312" w:eastAsia="仿宋_GB2312" w:cs="仿宋_GB2312"/>
                <w:color w:val="auto"/>
                <w:sz w:val="18"/>
                <w:szCs w:val="18"/>
                <w:highlight w:val="none"/>
                <w:lang w:eastAsia="zh-CN"/>
              </w:rPr>
              <w:t>六</w:t>
            </w:r>
            <w:r>
              <w:rPr>
                <w:rFonts w:hint="eastAsia" w:ascii="仿宋_GB2312" w:hAnsi="仿宋_GB2312" w:eastAsia="仿宋_GB2312" w:cs="仿宋_GB2312"/>
                <w:color w:val="auto"/>
                <w:sz w:val="18"/>
                <w:szCs w:val="18"/>
                <w:highlight w:val="none"/>
              </w:rPr>
              <w:t xml:space="preserve">条 </w:t>
            </w:r>
            <w:r>
              <w:rPr>
                <w:rFonts w:hint="eastAsia" w:ascii="仿宋_GB2312" w:hAnsi="仿宋_GB2312" w:eastAsia="仿宋_GB2312" w:cs="仿宋_GB2312"/>
                <w:color w:val="auto"/>
                <w:sz w:val="18"/>
                <w:szCs w:val="18"/>
                <w:highlight w:val="none"/>
                <w:lang w:val="en-US" w:eastAsia="zh-CN"/>
              </w:rPr>
              <w:t>采伐林地上的林木应当申请采伐许可证，并按照采伐许可证的规定进行采伐；采伐自然保护区以外的竹林，不需要申请采伐许可证，但应当符合林木采伐技术规程。农村居民采伐自留地和房前屋后个人所有的零星林木，不需要申请采伐许可证。非林地上的农田防护林、防风固沙林、护路林、护岸</w:t>
            </w:r>
            <w:r>
              <w:rPr>
                <w:rFonts w:hint="eastAsia" w:ascii="仿宋_GB2312" w:hAnsi="仿宋_GB2312" w:eastAsia="仿宋_GB2312" w:cs="仿宋_GB2312"/>
                <w:color w:val="auto"/>
                <w:kern w:val="0"/>
                <w:sz w:val="18"/>
                <w:szCs w:val="18"/>
                <w:highlight w:val="none"/>
                <w:lang w:val="en-US" w:eastAsia="zh-CN"/>
              </w:rPr>
              <w:t>护堤林和城镇林木等的更新采伐，由有关主管部门按照有关规定管理。采挖移植林木按照采伐林木管理。具体办法由国务院林业主管部门制定。</w:t>
            </w:r>
          </w:p>
        </w:tc>
        <w:tc>
          <w:tcPr>
            <w:tcW w:w="585" w:type="dxa"/>
            <w:noWrap w:val="0"/>
            <w:vAlign w:val="center"/>
          </w:tcPr>
          <w:p w14:paraId="3E824386">
            <w:pPr>
              <w:pStyle w:val="13"/>
              <w:adjustRightInd w:val="0"/>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林木采伐许可证核发</w:t>
            </w:r>
          </w:p>
        </w:tc>
        <w:tc>
          <w:tcPr>
            <w:tcW w:w="1050" w:type="dxa"/>
            <w:noWrap w:val="0"/>
            <w:vAlign w:val="center"/>
          </w:tcPr>
          <w:p w14:paraId="16BCB88E">
            <w:pPr>
              <w:shd w:val="clear" w:color="auto" w:fill="FFFFFF"/>
              <w:adjustRightInd w:val="0"/>
              <w:snapToGrid w:val="0"/>
              <w:rPr>
                <w:rFonts w:hint="eastAsia" w:ascii="仿宋_GB2312" w:hAnsi="仿宋_GB2312" w:eastAsia="仿宋_GB2312" w:cs="仿宋_GB2312"/>
                <w:color w:val="auto"/>
                <w:sz w:val="18"/>
                <w:szCs w:val="18"/>
                <w:highlight w:val="none"/>
              </w:rPr>
            </w:pPr>
          </w:p>
          <w:p w14:paraId="575BFB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099293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3AA83A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02D6B7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64A301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237E2B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6.其他法律法规规章文件规定应履行的责任。</w:t>
            </w:r>
          </w:p>
          <w:p w14:paraId="5731D3C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326" w:type="dxa"/>
            <w:noWrap w:val="0"/>
            <w:vAlign w:val="center"/>
          </w:tcPr>
          <w:p w14:paraId="179418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9AE0F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67290D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B3EEC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465025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501023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F1F41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27DE3D8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2A033E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01BBC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4AD966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4EC542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2205F2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0565C0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03D29F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115E49A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6FBA4F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5F00DB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46148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4B956F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6CC6C9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5CCA17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5B07FD1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24C981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EC29C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93607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2F798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1DF29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47E213C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0853F19B">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B8BB5C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1BD658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34ACDE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164F5A5">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705B0B8">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D8C963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A80061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r w14:paraId="7C43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2D596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19</w:t>
            </w:r>
          </w:p>
        </w:tc>
        <w:tc>
          <w:tcPr>
            <w:tcW w:w="612" w:type="dxa"/>
            <w:noWrap w:val="0"/>
            <w:vAlign w:val="center"/>
          </w:tcPr>
          <w:p w14:paraId="0BA5B2E4">
            <w:pPr>
              <w:keepNext w:val="0"/>
              <w:keepLines w:val="0"/>
              <w:pageBreakBefore w:val="0"/>
              <w:widowControl/>
              <w:kinsoku/>
              <w:wordWrap/>
              <w:overflowPunct/>
              <w:topLinePunct w:val="0"/>
              <w:autoSpaceDE/>
              <w:bidi w:val="0"/>
              <w:adjustRightInd w:val="0"/>
              <w:snapToGrid w:val="0"/>
              <w:spacing w:line="240" w:lineRule="auto"/>
              <w:jc w:val="center"/>
              <w:textAlignment w:val="auto"/>
              <w:outlineLvl w:val="9"/>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城市公共绿地内开设商业服务摊点审批</w:t>
            </w:r>
          </w:p>
        </w:tc>
        <w:tc>
          <w:tcPr>
            <w:tcW w:w="600" w:type="dxa"/>
            <w:noWrap w:val="0"/>
            <w:vAlign w:val="center"/>
          </w:tcPr>
          <w:p w14:paraId="02F6F233">
            <w:pPr>
              <w:keepNext w:val="0"/>
              <w:keepLines w:val="0"/>
              <w:pageBreakBefore w:val="0"/>
              <w:kinsoku/>
              <w:wordWrap/>
              <w:overflowPunct/>
              <w:topLinePunct w:val="0"/>
              <w:autoSpaceDE/>
              <w:bidi w:val="0"/>
              <w:snapToGrid w:val="0"/>
              <w:spacing w:line="240" w:lineRule="auto"/>
              <w:jc w:val="center"/>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p>
        </w:tc>
        <w:tc>
          <w:tcPr>
            <w:tcW w:w="615" w:type="dxa"/>
            <w:noWrap w:val="0"/>
            <w:vAlign w:val="top"/>
          </w:tcPr>
          <w:p w14:paraId="091086D6">
            <w:pPr>
              <w:pStyle w:val="14"/>
              <w:keepNext w:val="0"/>
              <w:keepLines w:val="0"/>
              <w:pageBreakBefore w:val="0"/>
              <w:kinsoku/>
              <w:wordWrap/>
              <w:overflowPunct/>
              <w:topLinePunct w:val="0"/>
              <w:autoSpaceDE/>
              <w:bidi w:val="0"/>
              <w:adjustRightInd w:val="0"/>
              <w:snapToGrid w:val="0"/>
              <w:spacing w:line="240" w:lineRule="auto"/>
              <w:ind w:firstLine="560" w:firstLineChars="200"/>
              <w:jc w:val="center"/>
              <w:textAlignment w:val="auto"/>
              <w:outlineLvl w:val="9"/>
              <w:rPr>
                <w:rFonts w:hint="eastAsia" w:ascii="仿宋_GB2312" w:hAnsi="仿宋_GB2312" w:cs="仿宋_GB2312"/>
                <w:b w:val="0"/>
                <w:bCs w:val="0"/>
                <w:color w:val="auto"/>
                <w:sz w:val="28"/>
                <w:szCs w:val="28"/>
                <w:highlight w:val="none"/>
                <w:lang w:val="en-US" w:eastAsia="zh-CN"/>
              </w:rPr>
            </w:pPr>
            <w:r>
              <w:rPr>
                <w:rFonts w:hint="eastAsia" w:ascii="仿宋_GB2312" w:hAnsi="仿宋_GB2312" w:cs="仿宋_GB2312"/>
                <w:b w:val="0"/>
                <w:bCs w:val="0"/>
                <w:color w:val="auto"/>
                <w:sz w:val="28"/>
                <w:szCs w:val="28"/>
                <w:highlight w:val="none"/>
                <w:lang w:val="en-US" w:eastAsia="zh-CN"/>
              </w:rPr>
              <w:t>0</w:t>
            </w:r>
          </w:p>
          <w:p w14:paraId="56908E7B">
            <w:pPr>
              <w:pStyle w:val="14"/>
              <w:keepNext w:val="0"/>
              <w:keepLines w:val="0"/>
              <w:pageBreakBefore w:val="0"/>
              <w:kinsoku/>
              <w:wordWrap/>
              <w:overflowPunct/>
              <w:topLinePunct w:val="0"/>
              <w:autoSpaceDE/>
              <w:bidi w:val="0"/>
              <w:adjustRightInd w:val="0"/>
              <w:snapToGrid w:val="0"/>
              <w:spacing w:line="240" w:lineRule="auto"/>
              <w:ind w:firstLine="560" w:firstLineChars="200"/>
              <w:jc w:val="center"/>
              <w:textAlignment w:val="auto"/>
              <w:outlineLvl w:val="9"/>
              <w:rPr>
                <w:rFonts w:hint="eastAsia" w:ascii="仿宋_GB2312" w:hAnsi="仿宋_GB2312" w:cs="仿宋_GB2312"/>
                <w:b w:val="0"/>
                <w:bCs w:val="0"/>
                <w:color w:val="auto"/>
                <w:sz w:val="28"/>
                <w:szCs w:val="28"/>
                <w:highlight w:val="none"/>
                <w:lang w:val="en-US" w:eastAsia="zh-CN"/>
              </w:rPr>
            </w:pPr>
          </w:p>
          <w:p w14:paraId="6813EF22">
            <w:pPr>
              <w:pStyle w:val="14"/>
              <w:keepNext w:val="0"/>
              <w:keepLines w:val="0"/>
              <w:pageBreakBefore w:val="0"/>
              <w:kinsoku/>
              <w:wordWrap/>
              <w:overflowPunct/>
              <w:topLinePunct w:val="0"/>
              <w:autoSpaceDE/>
              <w:bidi w:val="0"/>
              <w:adjustRightInd w:val="0"/>
              <w:snapToGrid w:val="0"/>
              <w:spacing w:line="240" w:lineRule="auto"/>
              <w:jc w:val="both"/>
              <w:textAlignment w:val="auto"/>
              <w:outlineLvl w:val="9"/>
              <w:rPr>
                <w:rFonts w:hint="eastAsia" w:ascii="仿宋_GB2312" w:hAnsi="仿宋_GB2312" w:eastAsia="仿宋_GB2312" w:cs="仿宋_GB2312"/>
                <w:bCs/>
                <w:color w:val="auto"/>
                <w:kern w:val="0"/>
                <w:sz w:val="18"/>
                <w:szCs w:val="18"/>
                <w:highlight w:val="none"/>
                <w:shd w:val="clear" w:color="auto" w:fill="FFFFFF"/>
                <w:lang w:val="en-US" w:eastAsia="zh-CN" w:bidi="ar-SA"/>
              </w:rPr>
            </w:pPr>
            <w:r>
              <w:rPr>
                <w:rFonts w:hint="eastAsia" w:ascii="仿宋_GB2312" w:hAnsi="仿宋_GB2312" w:cs="仿宋_GB2312"/>
                <w:b w:val="0"/>
                <w:bCs w:val="0"/>
                <w:color w:val="auto"/>
                <w:sz w:val="18"/>
                <w:szCs w:val="18"/>
                <w:highlight w:val="none"/>
                <w:lang w:val="en-US" w:eastAsia="zh-CN"/>
              </w:rPr>
              <w:t>01B1003000</w:t>
            </w:r>
          </w:p>
        </w:tc>
        <w:tc>
          <w:tcPr>
            <w:tcW w:w="1739" w:type="dxa"/>
            <w:noWrap w:val="0"/>
            <w:vAlign w:val="top"/>
          </w:tcPr>
          <w:p w14:paraId="70434839">
            <w:pPr>
              <w:pStyle w:val="14"/>
              <w:keepNext w:val="0"/>
              <w:keepLines w:val="0"/>
              <w:pageBreakBefore w:val="0"/>
              <w:kinsoku/>
              <w:wordWrap/>
              <w:overflowPunct/>
              <w:topLinePunct w:val="0"/>
              <w:autoSpaceDE/>
              <w:bidi w:val="0"/>
              <w:adjustRightInd w:val="0"/>
              <w:snapToGrid w:val="0"/>
              <w:spacing w:line="240" w:lineRule="auto"/>
              <w:ind w:firstLine="360" w:firstLineChars="200"/>
              <w:textAlignment w:val="auto"/>
              <w:outlineLvl w:val="9"/>
              <w:rPr>
                <w:rFonts w:hint="eastAsia" w:ascii="仿宋_GB2312" w:hAnsi="仿宋_GB2312" w:eastAsia="仿宋_GB2312" w:cs="仿宋_GB2312"/>
                <w:color w:val="auto"/>
                <w:sz w:val="18"/>
                <w:szCs w:val="18"/>
                <w:highlight w:val="none"/>
              </w:rPr>
            </w:pPr>
          </w:p>
          <w:p w14:paraId="67710581">
            <w:pPr>
              <w:pStyle w:val="14"/>
              <w:keepNext w:val="0"/>
              <w:keepLines w:val="0"/>
              <w:pageBreakBefore w:val="0"/>
              <w:kinsoku/>
              <w:wordWrap/>
              <w:overflowPunct/>
              <w:topLinePunct w:val="0"/>
              <w:autoSpaceDE/>
              <w:bidi w:val="0"/>
              <w:adjustRightInd w:val="0"/>
              <w:snapToGrid w:val="0"/>
              <w:spacing w:line="240" w:lineRule="auto"/>
              <w:ind w:firstLine="360" w:firstLineChars="200"/>
              <w:textAlignment w:val="auto"/>
              <w:outlineLvl w:val="9"/>
              <w:rPr>
                <w:rFonts w:hint="eastAsia" w:ascii="仿宋_GB2312" w:hAnsi="仿宋_GB2312" w:eastAsia="仿宋_GB2312" w:cs="仿宋_GB2312"/>
                <w:color w:val="auto"/>
                <w:sz w:val="18"/>
                <w:szCs w:val="18"/>
                <w:highlight w:val="none"/>
              </w:rPr>
            </w:pPr>
          </w:p>
          <w:p w14:paraId="35ED1D1D">
            <w:pPr>
              <w:pStyle w:val="14"/>
              <w:keepNext w:val="0"/>
              <w:keepLines w:val="0"/>
              <w:pageBreakBefore w:val="0"/>
              <w:kinsoku/>
              <w:wordWrap/>
              <w:overflowPunct/>
              <w:topLinePunct w:val="0"/>
              <w:autoSpaceDE/>
              <w:bidi w:val="0"/>
              <w:adjustRightInd w:val="0"/>
              <w:snapToGrid w:val="0"/>
              <w:spacing w:line="240" w:lineRule="auto"/>
              <w:ind w:firstLine="360" w:firstLineChars="20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【行政法规】《城市绿化条例》（201</w:t>
            </w:r>
            <w:r>
              <w:rPr>
                <w:rFonts w:hint="eastAsia" w:ascii="仿宋_GB2312" w:hAnsi="仿宋_GB2312" w:eastAsia="仿宋_GB2312" w:cs="仿宋_GB2312"/>
                <w:color w:val="auto"/>
                <w:sz w:val="18"/>
                <w:szCs w:val="18"/>
                <w:highlight w:val="none"/>
                <w:lang w:val="en-US" w:eastAsia="zh-CN"/>
              </w:rPr>
              <w:t>7</w:t>
            </w:r>
            <w:r>
              <w:rPr>
                <w:rFonts w:hint="eastAsia" w:ascii="仿宋_GB2312" w:hAnsi="仿宋_GB2312" w:eastAsia="仿宋_GB2312" w:cs="仿宋_GB2312"/>
                <w:color w:val="auto"/>
                <w:sz w:val="18"/>
                <w:szCs w:val="18"/>
                <w:highlight w:val="none"/>
              </w:rPr>
              <w:t>年</w:t>
            </w:r>
            <w:r>
              <w:rPr>
                <w:rFonts w:hint="eastAsia" w:ascii="仿宋_GB2312" w:hAnsi="仿宋_GB2312" w:eastAsia="仿宋_GB2312" w:cs="仿宋_GB2312"/>
                <w:color w:val="auto"/>
                <w:sz w:val="18"/>
                <w:szCs w:val="18"/>
                <w:highlight w:val="none"/>
                <w:lang w:eastAsia="zh-CN"/>
              </w:rPr>
              <w:t>修订</w:t>
            </w:r>
            <w:r>
              <w:rPr>
                <w:rFonts w:hint="eastAsia" w:ascii="仿宋_GB2312" w:hAnsi="仿宋_GB2312" w:eastAsia="仿宋_GB2312" w:cs="仿宋_GB2312"/>
                <w:color w:val="auto"/>
                <w:sz w:val="18"/>
                <w:szCs w:val="18"/>
                <w:highlight w:val="none"/>
              </w:rPr>
              <w:t>国务院令第</w:t>
            </w:r>
            <w:r>
              <w:rPr>
                <w:rFonts w:hint="eastAsia" w:ascii="仿宋_GB2312" w:hAnsi="仿宋_GB2312" w:eastAsia="仿宋_GB2312" w:cs="仿宋_GB2312"/>
                <w:color w:val="auto"/>
                <w:sz w:val="18"/>
                <w:szCs w:val="18"/>
                <w:highlight w:val="none"/>
                <w:lang w:val="en-US" w:eastAsia="zh-CN"/>
              </w:rPr>
              <w:t>676</w:t>
            </w:r>
            <w:r>
              <w:rPr>
                <w:rFonts w:hint="eastAsia" w:ascii="仿宋_GB2312" w:hAnsi="仿宋_GB2312" w:eastAsia="仿宋_GB2312" w:cs="仿宋_GB2312"/>
                <w:color w:val="auto"/>
                <w:sz w:val="18"/>
                <w:szCs w:val="18"/>
                <w:highlight w:val="none"/>
              </w:rPr>
              <w:t>号）</w:t>
            </w:r>
          </w:p>
          <w:p w14:paraId="77A38850">
            <w:pPr>
              <w:pStyle w:val="14"/>
              <w:keepNext w:val="0"/>
              <w:keepLines w:val="0"/>
              <w:pageBreakBefore w:val="0"/>
              <w:kinsoku/>
              <w:wordWrap/>
              <w:overflowPunct/>
              <w:topLinePunct w:val="0"/>
              <w:autoSpaceDE/>
              <w:bidi w:val="0"/>
              <w:adjustRightInd w:val="0"/>
              <w:snapToGrid w:val="0"/>
              <w:spacing w:line="240" w:lineRule="auto"/>
              <w:ind w:firstLine="360" w:firstLineChars="200"/>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w:t>
            </w:r>
            <w:r>
              <w:rPr>
                <w:rFonts w:hint="eastAsia" w:ascii="仿宋_GB2312" w:hAnsi="仿宋_GB2312" w:eastAsia="仿宋_GB2312" w:cs="仿宋_GB2312"/>
                <w:color w:val="auto"/>
                <w:sz w:val="18"/>
                <w:szCs w:val="18"/>
                <w:highlight w:val="none"/>
                <w:lang w:eastAsia="zh-CN"/>
              </w:rPr>
              <w:t>一</w:t>
            </w:r>
            <w:r>
              <w:rPr>
                <w:rFonts w:hint="eastAsia" w:ascii="仿宋_GB2312" w:hAnsi="仿宋_GB2312" w:eastAsia="仿宋_GB2312" w:cs="仿宋_GB2312"/>
                <w:color w:val="auto"/>
                <w:sz w:val="18"/>
                <w:szCs w:val="18"/>
                <w:highlight w:val="none"/>
              </w:rPr>
              <w:t xml:space="preserve">条 </w:t>
            </w:r>
            <w:r>
              <w:rPr>
                <w:rFonts w:hint="eastAsia" w:ascii="仿宋_GB2312" w:hAnsi="仿宋_GB2312" w:eastAsia="仿宋_GB2312" w:cs="仿宋_GB2312"/>
                <w:color w:val="auto"/>
                <w:kern w:val="0"/>
                <w:sz w:val="18"/>
                <w:szCs w:val="18"/>
                <w:highlight w:val="none"/>
                <w:lang w:val="en-US" w:eastAsia="zh-CN"/>
              </w:rPr>
              <w:t>在城市的公共绿地内开设商业、服务摊点的，应当持工商行政管理部门批准的营业执照，在公共绿地管理单位指定的地点从事经营活动，并遵守公共绿地和工商行政管理的规定。</w:t>
            </w:r>
          </w:p>
          <w:p w14:paraId="7EF5B355">
            <w:pPr>
              <w:keepNext w:val="0"/>
              <w:keepLines w:val="0"/>
              <w:pageBreakBefore w:val="0"/>
              <w:kinsoku/>
              <w:wordWrap/>
              <w:overflowPunct/>
              <w:topLinePunct w:val="0"/>
              <w:autoSpaceDE/>
              <w:bidi w:val="0"/>
              <w:adjustRightInd w:val="0"/>
              <w:snapToGrid w:val="0"/>
              <w:spacing w:line="240" w:lineRule="auto"/>
              <w:ind w:firstLine="270" w:firstLineChars="150"/>
              <w:textAlignment w:val="auto"/>
              <w:outlineLvl w:val="9"/>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【地方性法规】《宁夏回族自治区城市绿化管理条例》（</w:t>
            </w:r>
            <w:r>
              <w:rPr>
                <w:rFonts w:hint="eastAsia" w:ascii="仿宋_GB2312" w:hAnsi="仿宋_GB2312" w:eastAsia="仿宋_GB2312" w:cs="仿宋_GB2312"/>
                <w:color w:val="auto"/>
                <w:kern w:val="0"/>
                <w:sz w:val="18"/>
                <w:szCs w:val="18"/>
                <w:highlight w:val="none"/>
                <w:lang w:val="en-US" w:eastAsia="zh-CN"/>
              </w:rPr>
              <w:t>2021</w:t>
            </w:r>
            <w:r>
              <w:rPr>
                <w:rFonts w:hint="eastAsia" w:ascii="仿宋_GB2312" w:hAnsi="仿宋_GB2312" w:eastAsia="仿宋_GB2312" w:cs="仿宋_GB2312"/>
                <w:color w:val="auto"/>
                <w:kern w:val="0"/>
                <w:sz w:val="18"/>
                <w:szCs w:val="18"/>
                <w:highlight w:val="none"/>
              </w:rPr>
              <w:t>年修正）</w:t>
            </w:r>
          </w:p>
          <w:p w14:paraId="62DA1903">
            <w:pPr>
              <w:pStyle w:val="14"/>
              <w:keepNext w:val="0"/>
              <w:keepLines w:val="0"/>
              <w:pageBreakBefore w:val="0"/>
              <w:kinsoku/>
              <w:wordWrap/>
              <w:overflowPunct/>
              <w:topLinePunct w:val="0"/>
              <w:autoSpaceDE/>
              <w:bidi w:val="0"/>
              <w:adjustRightInd w:val="0"/>
              <w:snapToGrid w:val="0"/>
              <w:spacing w:line="240" w:lineRule="auto"/>
              <w:ind w:firstLine="360" w:firstLineChars="200"/>
              <w:textAlignment w:val="auto"/>
              <w:outlineLvl w:val="9"/>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第二十</w:t>
            </w:r>
            <w:r>
              <w:rPr>
                <w:rFonts w:hint="eastAsia" w:ascii="仿宋_GB2312" w:hAnsi="仿宋_GB2312" w:eastAsia="仿宋_GB2312" w:cs="仿宋_GB2312"/>
                <w:color w:val="auto"/>
                <w:sz w:val="18"/>
                <w:szCs w:val="18"/>
                <w:highlight w:val="none"/>
                <w:lang w:eastAsia="zh-CN"/>
              </w:rPr>
              <w:t>五</w:t>
            </w:r>
            <w:r>
              <w:rPr>
                <w:rFonts w:hint="eastAsia" w:ascii="仿宋_GB2312" w:hAnsi="仿宋_GB2312" w:eastAsia="仿宋_GB2312" w:cs="仿宋_GB2312"/>
                <w:color w:val="auto"/>
                <w:sz w:val="18"/>
                <w:szCs w:val="18"/>
                <w:highlight w:val="none"/>
              </w:rPr>
              <w:t>条 在城市</w:t>
            </w:r>
            <w:r>
              <w:rPr>
                <w:rFonts w:hint="eastAsia" w:ascii="仿宋_GB2312" w:hAnsi="仿宋_GB2312" w:eastAsia="仿宋_GB2312" w:cs="仿宋_GB2312"/>
                <w:color w:val="auto"/>
                <w:sz w:val="18"/>
                <w:szCs w:val="18"/>
                <w:highlight w:val="none"/>
                <w:lang w:eastAsia="zh-CN"/>
              </w:rPr>
              <w:t>的</w:t>
            </w:r>
            <w:r>
              <w:rPr>
                <w:rFonts w:hint="eastAsia" w:ascii="仿宋_GB2312" w:hAnsi="仿宋_GB2312" w:eastAsia="仿宋_GB2312" w:cs="仿宋_GB2312"/>
                <w:color w:val="auto"/>
                <w:sz w:val="18"/>
                <w:szCs w:val="18"/>
                <w:highlight w:val="none"/>
              </w:rPr>
              <w:t>公园、动物园、植物园和陵园内开设商业、服务摊点，</w:t>
            </w:r>
            <w:r>
              <w:rPr>
                <w:rFonts w:hint="eastAsia" w:ascii="仿宋_GB2312" w:hAnsi="仿宋_GB2312" w:eastAsia="仿宋_GB2312" w:cs="仿宋_GB2312"/>
                <w:color w:val="auto"/>
                <w:sz w:val="18"/>
                <w:szCs w:val="18"/>
                <w:highlight w:val="none"/>
                <w:lang w:eastAsia="zh-CN"/>
              </w:rPr>
              <w:t>应当持营业执照，</w:t>
            </w:r>
            <w:r>
              <w:rPr>
                <w:rFonts w:hint="eastAsia" w:ascii="仿宋_GB2312" w:hAnsi="仿宋_GB2312" w:eastAsia="仿宋_GB2312" w:cs="仿宋_GB2312"/>
                <w:color w:val="auto"/>
                <w:sz w:val="18"/>
                <w:szCs w:val="18"/>
                <w:highlight w:val="none"/>
              </w:rPr>
              <w:t>在公共绿地管理单位指定的地点从事经营活动，并遵守公共绿地</w:t>
            </w:r>
            <w:r>
              <w:rPr>
                <w:rFonts w:hint="eastAsia" w:ascii="仿宋_GB2312" w:hAnsi="仿宋_GB2312" w:eastAsia="仿宋_GB2312" w:cs="仿宋_GB2312"/>
                <w:color w:val="auto"/>
                <w:sz w:val="18"/>
                <w:szCs w:val="18"/>
                <w:highlight w:val="none"/>
                <w:lang w:eastAsia="zh-CN"/>
              </w:rPr>
              <w:t>和市场监督</w:t>
            </w:r>
            <w:r>
              <w:rPr>
                <w:rFonts w:hint="eastAsia" w:ascii="仿宋_GB2312" w:hAnsi="仿宋_GB2312" w:eastAsia="仿宋_GB2312" w:cs="仿宋_GB2312"/>
                <w:color w:val="auto"/>
                <w:sz w:val="18"/>
                <w:szCs w:val="18"/>
                <w:highlight w:val="none"/>
              </w:rPr>
              <w:t>管理的规定。</w:t>
            </w:r>
          </w:p>
        </w:tc>
        <w:tc>
          <w:tcPr>
            <w:tcW w:w="585" w:type="dxa"/>
            <w:noWrap w:val="0"/>
            <w:vAlign w:val="center"/>
          </w:tcPr>
          <w:p w14:paraId="1E708C11">
            <w:pPr>
              <w:keepNext w:val="0"/>
              <w:keepLines w:val="0"/>
              <w:pageBreakBefore w:val="0"/>
              <w:kinsoku/>
              <w:wordWrap/>
              <w:overflowPunct/>
              <w:topLinePunct w:val="0"/>
              <w:autoSpaceDE/>
              <w:bidi w:val="0"/>
              <w:snapToGrid w:val="0"/>
              <w:spacing w:line="240" w:lineRule="auto"/>
              <w:jc w:val="center"/>
              <w:textAlignment w:val="auto"/>
              <w:outlineLvl w:val="9"/>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城市公共绿地内开设商业服务摊点审批</w:t>
            </w:r>
          </w:p>
        </w:tc>
        <w:tc>
          <w:tcPr>
            <w:tcW w:w="1050" w:type="dxa"/>
            <w:noWrap w:val="0"/>
            <w:vAlign w:val="center"/>
          </w:tcPr>
          <w:p w14:paraId="205161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1.受理责任：公示依法应当公示的材料，一次性告知需要补正的材料，依法受理或者不予受理（不予受理应当告知理由）。</w:t>
            </w:r>
          </w:p>
          <w:p w14:paraId="0FBB67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2.审查责任：按照法定条件和程序对提交材料进行审查，提出是否同意的审核意见。</w:t>
            </w:r>
          </w:p>
          <w:p w14:paraId="5594F5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3.决定责任：作出行政许可或者不予行政许可决定，不予许可的应当书面告知理由。</w:t>
            </w:r>
          </w:p>
          <w:p w14:paraId="15EF53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4.送达责任：准予许可的制发送达许可证件，信息公开。</w:t>
            </w:r>
          </w:p>
          <w:p w14:paraId="4F0239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5.事后监管责任：建立实施监督检查的管理制度和机制，开展定期和不定期检查，依法采取相关处置措施。</w:t>
            </w:r>
          </w:p>
          <w:p w14:paraId="0498B22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6.其他法律法规规章文件规定应履行的责任。</w:t>
            </w:r>
          </w:p>
        </w:tc>
        <w:tc>
          <w:tcPr>
            <w:tcW w:w="2326" w:type="dxa"/>
            <w:noWrap w:val="0"/>
            <w:vAlign w:val="center"/>
          </w:tcPr>
          <w:p w14:paraId="46E907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E3558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第三十二条“行政机关对申请人提出的行政许可申请，应当根据下列情况分别作出处理：……”</w:t>
            </w:r>
          </w:p>
          <w:p w14:paraId="1272AB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071A1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0DBD3F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06AE7C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06259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第四十四条“行政机关作出准予行政许可的决定，应当自作出决定之日起十日内向申请人颁发、送达行政许可证件。”</w:t>
            </w:r>
          </w:p>
          <w:p w14:paraId="611917E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064" w:type="dxa"/>
            <w:noWrap w:val="0"/>
            <w:vAlign w:val="center"/>
          </w:tcPr>
          <w:p w14:paraId="6F8443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99FA3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1.对符合法定条件的行政许可申请不予受理的；</w:t>
            </w:r>
          </w:p>
          <w:p w14:paraId="2E8D4E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2.对不符合法定条件的申请人准予行政许可或者超越法定职权作出准予行政许可决定的；</w:t>
            </w:r>
          </w:p>
          <w:p w14:paraId="48F64E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3.对符合法定条件的申请人不予行政许可或者不在法定期限内作出准予行政许可决定的；</w:t>
            </w:r>
          </w:p>
          <w:p w14:paraId="487371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4.不依法履行监督职责或者监督不力，造成严重后果的；</w:t>
            </w:r>
          </w:p>
          <w:p w14:paraId="0EE555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5.工作中滥用职权、玩忽职守、徇私舞弊的；</w:t>
            </w:r>
          </w:p>
          <w:p w14:paraId="2CE15E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6.索取或者收受他人财物或者谋取其他利益；</w:t>
            </w:r>
          </w:p>
          <w:p w14:paraId="08F0F4F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356" w:type="dxa"/>
            <w:noWrap w:val="0"/>
            <w:vAlign w:val="top"/>
          </w:tcPr>
          <w:p w14:paraId="2AEF40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14:paraId="1EA430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75D153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55D49E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3A48F2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6DD3CD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第七十三条“行政机关工作人员办理行政许可、实施监督检查，索取或者收受他人财物或者谋取其他利益，构成犯罪的，依法追究刑事责任；尚不构成犯罪的，依法给予行政处分。”</w:t>
            </w:r>
          </w:p>
          <w:p w14:paraId="33D3199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7.《宁夏回族自治区行政程序规定》第一百一十三条“行政机关及其工作人员违反本规定，有下列情形之一的，依照国家和自治区有关规定追究责任：…（六）不按照行政裁量权基准进行裁量的；…”</w:t>
            </w:r>
          </w:p>
        </w:tc>
        <w:tc>
          <w:tcPr>
            <w:tcW w:w="1267" w:type="dxa"/>
            <w:noWrap w:val="0"/>
            <w:vAlign w:val="center"/>
          </w:tcPr>
          <w:p w14:paraId="441873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C4E1E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AC558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70759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BCAFD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10F7C7A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95" w:type="dxa"/>
            <w:noWrap w:val="0"/>
            <w:vAlign w:val="top"/>
          </w:tcPr>
          <w:p w14:paraId="6F77623E">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2BA0B4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《宁夏回族自治区行政执法监督条例》第二十六条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500563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D43FA6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297C224">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9B06CF3">
            <w:pPr>
              <w:shd w:val="clear" w:color="auto" w:fill="FFFFFF"/>
              <w:adjustRightInd w:val="0"/>
              <w:snapToGrid w:val="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E7DF04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BAB9DB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w:t>
            </w:r>
            <w:r>
              <w:rPr>
                <w:rFonts w:hint="eastAsia" w:ascii="仿宋_GB2312" w:hAnsi="仿宋_GB2312" w:eastAsia="仿宋_GB2312" w:cs="仿宋_GB2312"/>
                <w:color w:val="auto"/>
                <w:sz w:val="18"/>
                <w:szCs w:val="18"/>
                <w:highlight w:val="none"/>
              </w:rPr>
              <w:t>《宁夏回族自治区行政程序规定》第一百一十三条“行政机关及其工作人员违反本规定，有下列情形之一的，依照国家和自治区有关规定追究责任：…（六）不按照行政裁量权基准进行裁量的；…”</w:t>
            </w:r>
          </w:p>
        </w:tc>
      </w:tr>
    </w:tbl>
    <w:p w14:paraId="2F12871B">
      <w:pPr>
        <w:jc w:val="both"/>
        <w:rPr>
          <w:rFonts w:hint="eastAsia"/>
          <w:b/>
          <w:sz w:val="44"/>
          <w:szCs w:val="44"/>
          <w:highlight w:val="none"/>
        </w:rPr>
      </w:pPr>
    </w:p>
    <w:p w14:paraId="5B043528">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二、行政处罚（89项）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608"/>
        <w:gridCol w:w="607"/>
        <w:gridCol w:w="627"/>
        <w:gridCol w:w="1538"/>
        <w:gridCol w:w="607"/>
        <w:gridCol w:w="1899"/>
        <w:gridCol w:w="2430"/>
        <w:gridCol w:w="1026"/>
        <w:gridCol w:w="2506"/>
        <w:gridCol w:w="1063"/>
        <w:gridCol w:w="2612"/>
      </w:tblGrid>
      <w:tr w14:paraId="76A1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487" w:type="dxa"/>
            <w:noWrap w:val="0"/>
            <w:vAlign w:val="center"/>
          </w:tcPr>
          <w:p w14:paraId="20D381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序号</w:t>
            </w:r>
          </w:p>
        </w:tc>
        <w:tc>
          <w:tcPr>
            <w:tcW w:w="608" w:type="dxa"/>
            <w:noWrap w:val="0"/>
            <w:vAlign w:val="center"/>
          </w:tcPr>
          <w:p w14:paraId="0A45FCE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w:t>
            </w:r>
          </w:p>
          <w:p w14:paraId="59FC6A0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auto"/>
                <w:highlight w:val="none"/>
              </w:rPr>
            </w:pPr>
            <w:r>
              <w:rPr>
                <w:rFonts w:hint="eastAsia" w:ascii="仿宋_GB2312" w:hAnsi="仿宋_GB2312" w:eastAsia="仿宋_GB2312" w:cs="仿宋_GB2312"/>
                <w:color w:val="auto"/>
                <w:sz w:val="18"/>
                <w:szCs w:val="18"/>
                <w:highlight w:val="none"/>
                <w:vertAlign w:val="baseline"/>
                <w:lang w:val="en-US" w:eastAsia="zh-CN"/>
              </w:rPr>
              <w:t>名称</w:t>
            </w:r>
          </w:p>
        </w:tc>
        <w:tc>
          <w:tcPr>
            <w:tcW w:w="607" w:type="dxa"/>
            <w:noWrap w:val="0"/>
            <w:vAlign w:val="center"/>
          </w:tcPr>
          <w:p w14:paraId="58AB3B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子项</w:t>
            </w:r>
          </w:p>
          <w:p w14:paraId="4962A4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名称</w:t>
            </w:r>
          </w:p>
        </w:tc>
        <w:tc>
          <w:tcPr>
            <w:tcW w:w="627" w:type="dxa"/>
            <w:noWrap w:val="0"/>
            <w:vAlign w:val="center"/>
          </w:tcPr>
          <w:p w14:paraId="7F151F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基本编码</w:t>
            </w:r>
          </w:p>
        </w:tc>
        <w:tc>
          <w:tcPr>
            <w:tcW w:w="1538" w:type="dxa"/>
            <w:noWrap w:val="0"/>
            <w:vAlign w:val="center"/>
          </w:tcPr>
          <w:p w14:paraId="7AB7E2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职权依据</w:t>
            </w:r>
          </w:p>
        </w:tc>
        <w:tc>
          <w:tcPr>
            <w:tcW w:w="607" w:type="dxa"/>
            <w:noWrap w:val="0"/>
            <w:vAlign w:val="center"/>
          </w:tcPr>
          <w:p w14:paraId="1D25AC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行使内容</w:t>
            </w:r>
          </w:p>
        </w:tc>
        <w:tc>
          <w:tcPr>
            <w:tcW w:w="1899" w:type="dxa"/>
            <w:noWrap w:val="0"/>
            <w:vAlign w:val="center"/>
          </w:tcPr>
          <w:p w14:paraId="53F1E2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阶段事项</w:t>
            </w:r>
          </w:p>
        </w:tc>
        <w:tc>
          <w:tcPr>
            <w:tcW w:w="2430" w:type="dxa"/>
            <w:noWrap w:val="0"/>
            <w:vAlign w:val="center"/>
          </w:tcPr>
          <w:p w14:paraId="67CBC5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责任事项依据</w:t>
            </w:r>
          </w:p>
        </w:tc>
        <w:tc>
          <w:tcPr>
            <w:tcW w:w="1026" w:type="dxa"/>
            <w:noWrap w:val="0"/>
            <w:vAlign w:val="center"/>
          </w:tcPr>
          <w:p w14:paraId="781864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w:t>
            </w:r>
          </w:p>
        </w:tc>
        <w:tc>
          <w:tcPr>
            <w:tcW w:w="2506" w:type="dxa"/>
            <w:noWrap w:val="0"/>
            <w:vAlign w:val="center"/>
          </w:tcPr>
          <w:p w14:paraId="73DBCB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追责情形依据</w:t>
            </w:r>
          </w:p>
        </w:tc>
        <w:tc>
          <w:tcPr>
            <w:tcW w:w="1063" w:type="dxa"/>
            <w:noWrap w:val="0"/>
            <w:vAlign w:val="center"/>
          </w:tcPr>
          <w:p w14:paraId="43C9E04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w:t>
            </w:r>
          </w:p>
        </w:tc>
        <w:tc>
          <w:tcPr>
            <w:tcW w:w="2612" w:type="dxa"/>
            <w:noWrap w:val="0"/>
            <w:vAlign w:val="center"/>
          </w:tcPr>
          <w:p w14:paraId="169138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担责方式依据</w:t>
            </w:r>
          </w:p>
        </w:tc>
      </w:tr>
      <w:tr w14:paraId="3979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32E7E3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w:t>
            </w:r>
          </w:p>
        </w:tc>
        <w:tc>
          <w:tcPr>
            <w:tcW w:w="608" w:type="dxa"/>
            <w:noWrap w:val="0"/>
            <w:vAlign w:val="center"/>
          </w:tcPr>
          <w:p w14:paraId="064FE393">
            <w:pPr>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开展参观、旅游活动未编制方案或者编制的方案不符合自然保护区管理目标等行为的处罚</w:t>
            </w:r>
          </w:p>
        </w:tc>
        <w:tc>
          <w:tcPr>
            <w:tcW w:w="607" w:type="dxa"/>
            <w:noWrap w:val="0"/>
            <w:vAlign w:val="center"/>
          </w:tcPr>
          <w:p w14:paraId="7E75749A">
            <w:pPr>
              <w:rPr>
                <w:rFonts w:hint="default"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5A9F4E1">
            <w:pP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0213069000</w:t>
            </w:r>
          </w:p>
        </w:tc>
        <w:tc>
          <w:tcPr>
            <w:tcW w:w="1538" w:type="dxa"/>
            <w:noWrap w:val="0"/>
            <w:vAlign w:val="center"/>
          </w:tcPr>
          <w:p w14:paraId="0CD5E4A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【行政法规】《中华人民共和国自然保护区条例》（2017年国务院令第687号修订）</w:t>
            </w:r>
          </w:p>
          <w:p w14:paraId="19BA455B">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第三十七条　自然保护区管理机构违反本条例规定，有下列行为之一的，由县级以上人民政府有关自然保护区行政主管部门责令限期改正；对直接责任人员，由其所在单位或者上级机关给予行政处分：</w:t>
            </w:r>
          </w:p>
          <w:p w14:paraId="48360D26">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（一）开展参观、旅游活动未编制方案或者编制的方案不符合自然保护区管理目标的；</w:t>
            </w:r>
          </w:p>
          <w:p w14:paraId="2DAFD0C0">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（二）开设与自然保护区保护方向不一致的参观、旅游项目的；</w:t>
            </w:r>
          </w:p>
          <w:p w14:paraId="3BE9FAD8">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（三）不按照编制的方案开展参观、旅游活动的；</w:t>
            </w:r>
          </w:p>
          <w:p w14:paraId="11C4DBC8">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（四）违法批准人员进入自然保护区的核心区，或者违法批准外国人进入自然保护区的；</w:t>
            </w:r>
          </w:p>
          <w:p w14:paraId="4DA48626">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（五）有其他滥用职权、玩忽职守、徇私舞弊行为的。</w:t>
            </w:r>
          </w:p>
        </w:tc>
        <w:tc>
          <w:tcPr>
            <w:tcW w:w="607" w:type="dxa"/>
            <w:noWrap w:val="0"/>
            <w:vAlign w:val="center"/>
          </w:tcPr>
          <w:p w14:paraId="6DC1A897">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vertAlign w:val="baseline"/>
                <w:lang w:val="en-US" w:eastAsia="zh-CN" w:bidi="ar-SA"/>
              </w:rPr>
              <w:t>负责对县辖行政区域内违反法定情形予以出发</w:t>
            </w:r>
          </w:p>
        </w:tc>
        <w:tc>
          <w:tcPr>
            <w:tcW w:w="1899" w:type="dxa"/>
            <w:noWrap w:val="0"/>
            <w:vAlign w:val="center"/>
          </w:tcPr>
          <w:p w14:paraId="10A349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63747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DB03A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0A18C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83701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387C7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822909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71E2ABF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020CC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w:t>
            </w:r>
            <w:bookmarkStart w:id="3" w:name="tiao_23_kuan_1"/>
            <w:bookmarkEnd w:id="3"/>
            <w:r>
              <w:rPr>
                <w:rFonts w:hint="eastAsia" w:ascii="仿宋_GB2312" w:hAnsi="仿宋_GB2312" w:eastAsia="仿宋_GB2312" w:cs="仿宋_GB2312"/>
                <w:color w:val="auto"/>
                <w:sz w:val="18"/>
                <w:szCs w:val="18"/>
                <w:highlight w:val="none"/>
              </w:rPr>
              <w:t>　行政处罚由县级以上地方人民政府具有行政处罚权的行政机关管辖。法律、行政法规另有规定的，从其规定。</w:t>
            </w:r>
          </w:p>
          <w:p w14:paraId="1D4F32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w:t>
            </w:r>
            <w:bookmarkStart w:id="4" w:name="tiao_54_kuan_1"/>
            <w:bookmarkEnd w:id="4"/>
            <w:r>
              <w:rPr>
                <w:rFonts w:hint="eastAsia" w:ascii="仿宋_GB2312" w:hAnsi="仿宋_GB2312" w:eastAsia="仿宋_GB2312" w:cs="仿宋_GB2312"/>
                <w:color w:val="auto"/>
                <w:sz w:val="18"/>
                <w:szCs w:val="18"/>
                <w:highlight w:val="none"/>
                <w:lang w:val="en-US" w:eastAsia="zh-CN"/>
              </w:rPr>
              <w:t>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F0DD2C9">
            <w:pPr>
              <w:shd w:val="clear" w:color="auto" w:fill="FFFFFF"/>
              <w:adjustRightInd w:val="0"/>
              <w:snapToGrid w:val="0"/>
              <w:rPr>
                <w:rFonts w:hint="eastAsia" w:ascii="仿宋_GB2312" w:hAnsi="仿宋_GB2312" w:eastAsia="仿宋_GB2312" w:cs="仿宋_GB2312"/>
                <w:color w:val="auto"/>
                <w:sz w:val="18"/>
                <w:szCs w:val="18"/>
                <w:highlight w:val="none"/>
              </w:rPr>
            </w:pPr>
            <w:bookmarkStart w:id="5" w:name="tiao_54_kuan_2"/>
            <w:bookmarkEnd w:id="5"/>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78B42F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w:t>
            </w:r>
            <w:bookmarkStart w:id="6" w:name="tiao_42_kuan_1"/>
            <w:bookmarkEnd w:id="6"/>
            <w:r>
              <w:rPr>
                <w:rFonts w:hint="eastAsia" w:ascii="仿宋_GB2312" w:hAnsi="仿宋_GB2312" w:eastAsia="仿宋_GB2312" w:cs="仿宋_GB2312"/>
                <w:color w:val="auto"/>
                <w:sz w:val="18"/>
                <w:szCs w:val="18"/>
                <w:highlight w:val="none"/>
                <w:lang w:val="en-US" w:eastAsia="zh-CN"/>
              </w:rPr>
              <w:t>　行政处罚应当由具有行政执法资格的执法人员实施。执法人员不得少于两人，法律另有规定的除外。</w:t>
            </w:r>
            <w:bookmarkStart w:id="7" w:name="tiao_42_kuan_2"/>
            <w:bookmarkEnd w:id="7"/>
            <w:r>
              <w:rPr>
                <w:rFonts w:hint="eastAsia" w:ascii="仿宋_GB2312" w:hAnsi="仿宋_GB2312" w:eastAsia="仿宋_GB2312" w:cs="仿宋_GB2312"/>
                <w:color w:val="auto"/>
                <w:sz w:val="18"/>
                <w:szCs w:val="18"/>
                <w:highlight w:val="none"/>
                <w:lang w:val="en-US" w:eastAsia="zh-CN"/>
              </w:rPr>
              <w:t>执法人员应当文明执法，尊重和保护当事人合法权益。</w:t>
            </w:r>
            <w:bookmarkStart w:id="8" w:name="tiao_43"/>
            <w:bookmarkEnd w:id="8"/>
            <w:r>
              <w:rPr>
                <w:rFonts w:hint="eastAsia" w:ascii="仿宋_GB2312" w:hAnsi="仿宋_GB2312" w:eastAsia="仿宋_GB2312" w:cs="仿宋_GB2312"/>
                <w:color w:val="auto"/>
                <w:sz w:val="18"/>
                <w:szCs w:val="18"/>
                <w:highlight w:val="none"/>
                <w:lang w:val="en-US" w:eastAsia="zh-CN"/>
              </w:rPr>
              <w:t>　　</w:t>
            </w:r>
          </w:p>
          <w:p w14:paraId="4A778E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w:t>
            </w:r>
            <w:bookmarkStart w:id="9" w:name="tiao_43_kuan_1"/>
            <w:bookmarkEnd w:id="9"/>
            <w:r>
              <w:rPr>
                <w:rFonts w:hint="eastAsia" w:ascii="仿宋_GB2312" w:hAnsi="仿宋_GB2312" w:eastAsia="仿宋_GB2312" w:cs="仿宋_GB2312"/>
                <w:color w:val="auto"/>
                <w:sz w:val="18"/>
                <w:szCs w:val="18"/>
                <w:highlight w:val="none"/>
                <w:lang w:val="en-US" w:eastAsia="zh-CN"/>
              </w:rPr>
              <w:t>　执法人员与案件有直接利害关系或者有其他关系可能影响公正执法的，应当回避。</w:t>
            </w:r>
            <w:bookmarkStart w:id="10" w:name="tiao_43_kuan_2"/>
            <w:bookmarkEnd w:id="10"/>
            <w:r>
              <w:rPr>
                <w:rFonts w:hint="eastAsia" w:ascii="仿宋_GB2312" w:hAnsi="仿宋_GB2312" w:eastAsia="仿宋_GB2312" w:cs="仿宋_GB2312"/>
                <w:color w:val="auto"/>
                <w:sz w:val="18"/>
                <w:szCs w:val="18"/>
                <w:highlight w:val="none"/>
                <w:lang w:val="en-US" w:eastAsia="zh-CN"/>
              </w:rPr>
              <w:t>当事人认为执法人员与案件有直接利害关系或者有其他关系可能影响公正执法的，有权申请回避。</w:t>
            </w:r>
            <w:bookmarkStart w:id="11" w:name="tiao_43_kuan_3"/>
            <w:bookmarkEnd w:id="11"/>
            <w:r>
              <w:rPr>
                <w:rFonts w:hint="eastAsia" w:ascii="仿宋_GB2312" w:hAnsi="仿宋_GB2312" w:eastAsia="仿宋_GB2312" w:cs="仿宋_GB2312"/>
                <w:color w:val="auto"/>
                <w:sz w:val="18"/>
                <w:szCs w:val="18"/>
                <w:highlight w:val="none"/>
                <w:lang w:val="en-US" w:eastAsia="zh-CN"/>
              </w:rPr>
              <w:t>当事人提出回避申请的，行政机关应当依法审查，由行政机关负责人决定。决定作出之前，不停止调查。</w:t>
            </w:r>
          </w:p>
          <w:p w14:paraId="549404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FE7C5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AD09C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C278A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CB966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EAD42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9DBF8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CFB90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7B859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E8F41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D1B68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53379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2518F8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5AB47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640DF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E6EB6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43D28DC">
            <w:pPr>
              <w:shd w:val="clear" w:color="auto" w:fill="FFFFFF"/>
              <w:adjustRightInd w:val="0"/>
              <w:snapToGrid w:val="0"/>
              <w:rPr>
                <w:rFonts w:hint="eastAsia" w:ascii="仿宋_GB2312" w:hAnsi="仿宋_GB2312" w:eastAsia="仿宋_GB2312" w:cs="仿宋_GB2312"/>
                <w:color w:val="auto"/>
                <w:sz w:val="18"/>
                <w:szCs w:val="18"/>
                <w:highlight w:val="none"/>
              </w:rPr>
            </w:pPr>
          </w:p>
          <w:p w14:paraId="6D19D7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8C611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55443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BD237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2E007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690A5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7C076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F3295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AFE92BD">
            <w:pPr>
              <w:shd w:val="clear" w:color="auto" w:fill="FFFFFF"/>
              <w:adjustRightInd w:val="0"/>
              <w:snapToGrid w:val="0"/>
              <w:rPr>
                <w:rFonts w:hint="eastAsia" w:ascii="仿宋_GB2312" w:hAnsi="仿宋_GB2312" w:eastAsia="仿宋_GB2312" w:cs="仿宋_GB2312"/>
                <w:color w:val="auto"/>
                <w:sz w:val="18"/>
                <w:szCs w:val="18"/>
                <w:highlight w:val="none"/>
              </w:rPr>
            </w:pPr>
          </w:p>
          <w:p w14:paraId="546CFE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24BDAB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47D8E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838FC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C2D58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16621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6D922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87438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7C433E5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195528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E3645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85DFD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01B53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07620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986F7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D2DE9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93007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11522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43BF0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CC08AD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9F06A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5AD0A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B8D90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31BE3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89E8B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D0528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33793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DB98DE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B6FEB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5F4D1B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36583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2AD5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C37A2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95ACA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2A435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74F06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567D90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9392A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003576E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9BD13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5F95A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D3CC3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3CAF1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1C420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35D8C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2ADD37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25E23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883C50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21BB7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7C98B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16A07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5D6F6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191C6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63E7FC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1C4813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CA84D6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C7B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3A8ED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2</w:t>
            </w:r>
          </w:p>
        </w:tc>
        <w:tc>
          <w:tcPr>
            <w:tcW w:w="608" w:type="dxa"/>
            <w:noWrap w:val="0"/>
            <w:vAlign w:val="center"/>
          </w:tcPr>
          <w:p w14:paraId="5049C3A1">
            <w:pPr>
              <w:adjustRightInd w:val="0"/>
              <w:snapToGrid w:val="0"/>
              <w:jc w:val="left"/>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sz w:val="18"/>
                <w:szCs w:val="18"/>
                <w:highlight w:val="none"/>
              </w:rPr>
              <w:t>对在城市绿地范围内进行拦河截溪、取土采石、设置垃圾堆场、排放污水以及其他对城市生态环境造成破坏活动的处罚</w:t>
            </w:r>
          </w:p>
        </w:tc>
        <w:tc>
          <w:tcPr>
            <w:tcW w:w="607" w:type="dxa"/>
            <w:noWrap w:val="0"/>
            <w:vAlign w:val="center"/>
          </w:tcPr>
          <w:p w14:paraId="78A06E66">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655B1A5">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0214008000</w:t>
            </w:r>
          </w:p>
        </w:tc>
        <w:tc>
          <w:tcPr>
            <w:tcW w:w="1538" w:type="dxa"/>
            <w:noWrap w:val="0"/>
            <w:vAlign w:val="center"/>
          </w:tcPr>
          <w:p w14:paraId="4FB63562">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【部门规章】《城市绿线管理办法》（2011年住房和城乡建设部令第9号修改）第十七条 违反本办法规定，在城市绿地范围内进行拦河截溪、取土采石、设置垃圾堆场、排放污水以及其他对城市生态环境造成破坏活动的，由城市园林绿化行政主管部门责令改正，并处一万元以上三万元以下的罚款。</w:t>
            </w:r>
          </w:p>
        </w:tc>
        <w:tc>
          <w:tcPr>
            <w:tcW w:w="607" w:type="dxa"/>
            <w:noWrap w:val="0"/>
            <w:vAlign w:val="center"/>
          </w:tcPr>
          <w:p w14:paraId="517507C0">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对在城市绿地范围内进行拦河截溪、取土采石、设置垃圾堆场、排放污水以及其他对城市生态环境造成破坏活动的处罚</w:t>
            </w:r>
          </w:p>
        </w:tc>
        <w:tc>
          <w:tcPr>
            <w:tcW w:w="1899" w:type="dxa"/>
            <w:noWrap w:val="0"/>
            <w:vAlign w:val="center"/>
          </w:tcPr>
          <w:p w14:paraId="138B6A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2E34FF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F9E8A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4C8FAE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D67F3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B2E11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F7919F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060E0A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2E2E6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50C6A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E9BF4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AA7468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A3D1C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F9A9D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FC258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C7931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43DD0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53E8F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217E2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AD54B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049F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2676F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2E65D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A86B0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6711EF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A6FB6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71453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CDA22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275BB0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C2F0315">
            <w:pPr>
              <w:shd w:val="clear" w:color="auto" w:fill="FFFFFF"/>
              <w:adjustRightInd w:val="0"/>
              <w:snapToGrid w:val="0"/>
              <w:rPr>
                <w:rFonts w:hint="eastAsia" w:ascii="仿宋_GB2312" w:hAnsi="仿宋_GB2312" w:eastAsia="仿宋_GB2312" w:cs="仿宋_GB2312"/>
                <w:color w:val="auto"/>
                <w:sz w:val="18"/>
                <w:szCs w:val="18"/>
                <w:highlight w:val="none"/>
              </w:rPr>
            </w:pPr>
          </w:p>
          <w:p w14:paraId="56F32C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52FA1A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F5BB4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88228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425D69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E2253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26D5E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D98DB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932D2C9">
            <w:pPr>
              <w:shd w:val="clear" w:color="auto" w:fill="FFFFFF"/>
              <w:adjustRightInd w:val="0"/>
              <w:snapToGrid w:val="0"/>
              <w:rPr>
                <w:rFonts w:hint="eastAsia" w:ascii="仿宋_GB2312" w:hAnsi="仿宋_GB2312" w:eastAsia="仿宋_GB2312" w:cs="仿宋_GB2312"/>
                <w:color w:val="auto"/>
                <w:sz w:val="18"/>
                <w:szCs w:val="18"/>
                <w:highlight w:val="none"/>
              </w:rPr>
            </w:pPr>
          </w:p>
          <w:p w14:paraId="6186E2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C92C5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21749D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7769A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F5926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A92DE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1F255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FA09E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41B9332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5634AE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81E37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86AC3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3B663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A84D9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CEBDC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49D83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5FD105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01DC4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52531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9E109A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995E3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F3BE5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C182F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5DCAB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AF636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0206B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6E438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298E261">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14020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698AC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4349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88DF7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978EE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9F51E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F9895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1C677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6EE239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438DB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05525F70">
            <w:pPr>
              <w:pStyle w:val="4"/>
              <w:rPr>
                <w:rFonts w:hint="eastAsia"/>
                <w:color w:val="auto"/>
                <w:highlight w:val="none"/>
                <w:lang w:val="en-US" w:eastAsia="zh-CN"/>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D48E9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B26A9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F3C70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362CA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E7717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50263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E5A248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9C9F0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4E6A2C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D7076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697F9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5B400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9C754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8D3AE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0F5427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01F307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34C2B9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278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CBA42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3</w:t>
            </w:r>
          </w:p>
        </w:tc>
        <w:tc>
          <w:tcPr>
            <w:tcW w:w="608" w:type="dxa"/>
            <w:noWrap w:val="0"/>
            <w:vAlign w:val="center"/>
          </w:tcPr>
          <w:p w14:paraId="517A51B3">
            <w:pPr>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sz w:val="18"/>
                <w:szCs w:val="18"/>
                <w:highlight w:val="none"/>
              </w:rPr>
              <w:t>对风景名胜区内从事禁止范围以外的建设活动，未经风景名胜区管理机构审核的处罚</w:t>
            </w:r>
          </w:p>
        </w:tc>
        <w:tc>
          <w:tcPr>
            <w:tcW w:w="607" w:type="dxa"/>
            <w:noWrap w:val="0"/>
            <w:vAlign w:val="center"/>
          </w:tcPr>
          <w:p w14:paraId="74281151">
            <w:pPr>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5044424">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0214158000</w:t>
            </w:r>
          </w:p>
        </w:tc>
        <w:tc>
          <w:tcPr>
            <w:tcW w:w="1538" w:type="dxa"/>
            <w:noWrap w:val="0"/>
            <w:vAlign w:val="center"/>
          </w:tcPr>
          <w:p w14:paraId="6E409695">
            <w:pPr>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【行政法规】《风景名胜区条例》（2016年国务院令第666号修正）</w:t>
            </w:r>
          </w:p>
          <w:p w14:paraId="1497D5CA">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第四十一条  违反本条例的规定，在风景名胜区内从事禁止范围以外的建设活动，未经风景名胜区管理机构审核的，由风景名胜区管理机构责令停止建设、限期拆除，对个人处2万元以上5万元以下的罚款，对单位处20万元以上50万元以下的罚款。</w:t>
            </w:r>
          </w:p>
        </w:tc>
        <w:tc>
          <w:tcPr>
            <w:tcW w:w="607" w:type="dxa"/>
            <w:noWrap w:val="0"/>
            <w:vAlign w:val="top"/>
          </w:tcPr>
          <w:p w14:paraId="4092EF48">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对风景名胜区内从事禁止范围以外的建设活动，未经风景名胜区管理机构审核的处罚</w:t>
            </w:r>
          </w:p>
        </w:tc>
        <w:tc>
          <w:tcPr>
            <w:tcW w:w="1899" w:type="dxa"/>
            <w:noWrap w:val="0"/>
            <w:vAlign w:val="center"/>
          </w:tcPr>
          <w:p w14:paraId="43B3BE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228696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C06AE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56BD0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A463C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308F9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FB1D46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34013B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5EB4D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036C6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2B6929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C2B7B7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3BDDE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B656E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C98FD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F162A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9E122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ED62F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6F05D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37EBD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4D6DA3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F5B1A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1755B9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0D753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035F1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298B9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3A1DF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787177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8167F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429CAEB">
            <w:pPr>
              <w:shd w:val="clear" w:color="auto" w:fill="FFFFFF"/>
              <w:adjustRightInd w:val="0"/>
              <w:snapToGrid w:val="0"/>
              <w:rPr>
                <w:rFonts w:hint="eastAsia" w:ascii="仿宋_GB2312" w:hAnsi="仿宋_GB2312" w:eastAsia="仿宋_GB2312" w:cs="仿宋_GB2312"/>
                <w:color w:val="auto"/>
                <w:sz w:val="18"/>
                <w:szCs w:val="18"/>
                <w:highlight w:val="none"/>
              </w:rPr>
            </w:pPr>
          </w:p>
          <w:p w14:paraId="31E705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C3B3D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B0B7D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1AA62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3AF18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1F868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1A5D6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5933B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45ECE682">
            <w:pPr>
              <w:shd w:val="clear" w:color="auto" w:fill="FFFFFF"/>
              <w:adjustRightInd w:val="0"/>
              <w:snapToGrid w:val="0"/>
              <w:rPr>
                <w:rFonts w:hint="eastAsia" w:ascii="仿宋_GB2312" w:hAnsi="仿宋_GB2312" w:eastAsia="仿宋_GB2312" w:cs="仿宋_GB2312"/>
                <w:color w:val="auto"/>
                <w:sz w:val="18"/>
                <w:szCs w:val="18"/>
                <w:highlight w:val="none"/>
              </w:rPr>
            </w:pPr>
          </w:p>
          <w:p w14:paraId="547D23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2A8CA4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9BC69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FB0EF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D78F9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822C1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93BC4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B50CC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442834E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7D6258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31210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DD2E0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855E6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7965A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5828F8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89584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16557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796E2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71123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5E46DE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1FA6F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EC65F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2C6AA8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2F37B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646CC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44FD3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67DD1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396D24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0912A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66869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51326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8CED5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81B62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49B03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B42B9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E8786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BB5B3B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803B6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AED285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2C319A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3A65A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13E1C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18F57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BB496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551E1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445EC6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35FF2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3BE31C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38087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BF760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27D91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10FF2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D8214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857614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2852AF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779901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246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B0C5A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4</w:t>
            </w:r>
          </w:p>
        </w:tc>
        <w:tc>
          <w:tcPr>
            <w:tcW w:w="608" w:type="dxa"/>
            <w:noWrap w:val="0"/>
            <w:vAlign w:val="center"/>
          </w:tcPr>
          <w:p w14:paraId="73C64F69">
            <w:pPr>
              <w:adjustRightInd w:val="0"/>
              <w:snapToGrid w:val="0"/>
              <w:jc w:val="left"/>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sz w:val="18"/>
                <w:szCs w:val="18"/>
                <w:highlight w:val="none"/>
              </w:rPr>
              <w:t>对个人在风景名胜区内进行开荒、修坟立碑等破坏景观、植被、地形地貌的活动的处罚</w:t>
            </w:r>
          </w:p>
        </w:tc>
        <w:tc>
          <w:tcPr>
            <w:tcW w:w="607" w:type="dxa"/>
            <w:noWrap w:val="0"/>
            <w:vAlign w:val="center"/>
          </w:tcPr>
          <w:p w14:paraId="1C51574C">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B164438">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0214159000</w:t>
            </w:r>
          </w:p>
        </w:tc>
        <w:tc>
          <w:tcPr>
            <w:tcW w:w="1538" w:type="dxa"/>
            <w:noWrap w:val="0"/>
            <w:vAlign w:val="center"/>
          </w:tcPr>
          <w:p w14:paraId="2BEFE5D8">
            <w:pPr>
              <w:adjustRightInd w:val="0"/>
              <w:snapToGrid w:val="0"/>
              <w:ind w:firstLine="360" w:firstLineChars="200"/>
              <w:jc w:val="left"/>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【行政法规】《风景名胜区条例》（2016年国务院令第666号修改）</w:t>
            </w:r>
          </w:p>
          <w:p w14:paraId="4FB62A0F">
            <w:pPr>
              <w:adjustRightInd w:val="0"/>
              <w:snapToGrid w:val="0"/>
              <w:ind w:firstLine="360" w:firstLineChars="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第四十三条  违反本条例的规定，个人在风景名胜区内进行开荒、修坟立碑等破坏景观、植被、地形地貌的活动的，由风景名胜区管理机构责令停止违法行为、限期恢复原状或者采取其他补救措施，没收违法所得，并处1000元以上1万元以下的罚款。</w:t>
            </w:r>
          </w:p>
        </w:tc>
        <w:tc>
          <w:tcPr>
            <w:tcW w:w="607" w:type="dxa"/>
            <w:noWrap w:val="0"/>
            <w:vAlign w:val="center"/>
          </w:tcPr>
          <w:p w14:paraId="5592502C">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对个人在风景名胜区内进行开荒、修坟立碑等破坏景观、植被、地形地貌的活动的处罚</w:t>
            </w:r>
          </w:p>
        </w:tc>
        <w:tc>
          <w:tcPr>
            <w:tcW w:w="1899" w:type="dxa"/>
            <w:noWrap w:val="0"/>
            <w:vAlign w:val="center"/>
          </w:tcPr>
          <w:p w14:paraId="1E8204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8F27A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66B32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EE4A3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60779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D5A41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06E40A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A9475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8.其他法律法规规章文件规定应履行的责任。</w:t>
            </w:r>
          </w:p>
          <w:p w14:paraId="395F9BF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430" w:type="dxa"/>
            <w:noWrap w:val="0"/>
            <w:vAlign w:val="center"/>
          </w:tcPr>
          <w:p w14:paraId="795261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53892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DD470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53C3CC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2783D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45FCA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C6AAA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197290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F1AF7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5F194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923C8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03C70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21D96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75B1E7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7EE2A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65FE6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94217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9B96D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6F749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11592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84E22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CDB6E05">
            <w:pPr>
              <w:shd w:val="clear" w:color="auto" w:fill="FFFFFF"/>
              <w:adjustRightInd w:val="0"/>
              <w:snapToGrid w:val="0"/>
              <w:rPr>
                <w:rFonts w:hint="eastAsia" w:ascii="仿宋_GB2312" w:hAnsi="仿宋_GB2312" w:eastAsia="仿宋_GB2312" w:cs="仿宋_GB2312"/>
                <w:color w:val="auto"/>
                <w:sz w:val="18"/>
                <w:szCs w:val="18"/>
                <w:highlight w:val="none"/>
              </w:rPr>
            </w:pPr>
          </w:p>
          <w:p w14:paraId="79E909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531594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6B0C5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4A307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034986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E11CD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0A73A2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6B260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150A7B1">
            <w:pPr>
              <w:shd w:val="clear" w:color="auto" w:fill="FFFFFF"/>
              <w:adjustRightInd w:val="0"/>
              <w:snapToGrid w:val="0"/>
              <w:rPr>
                <w:rFonts w:hint="eastAsia" w:ascii="仿宋_GB2312" w:hAnsi="仿宋_GB2312" w:eastAsia="仿宋_GB2312" w:cs="仿宋_GB2312"/>
                <w:color w:val="auto"/>
                <w:sz w:val="18"/>
                <w:szCs w:val="18"/>
                <w:highlight w:val="none"/>
              </w:rPr>
            </w:pPr>
          </w:p>
          <w:p w14:paraId="49000B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07B81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093DD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FDD6E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76AF30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48D18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A748A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B5FCC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7C205F0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632B26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F71FB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681877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8C386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E606A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5B53F0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CFA5E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38E04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25027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B3BAB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31684A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9249D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D2946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282750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17CC1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9DCC7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F9D1E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06607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6941FC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37936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0DC11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5445E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B31C3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F105E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4A65E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23B01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17253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216AC5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09AA7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2EA8DDC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4732F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D989C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83F0F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90918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3D9D1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6E589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9DC6D1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89D02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7285C9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C861C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B9BF4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CB0AD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5401C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D3E11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6FBB93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F10A43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A63B73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DB7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noWrap w:val="0"/>
            <w:vAlign w:val="center"/>
          </w:tcPr>
          <w:p w14:paraId="7FA91CC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5</w:t>
            </w:r>
          </w:p>
        </w:tc>
        <w:tc>
          <w:tcPr>
            <w:tcW w:w="608" w:type="dxa"/>
            <w:noWrap w:val="0"/>
            <w:vAlign w:val="center"/>
          </w:tcPr>
          <w:p w14:paraId="11636949">
            <w:pPr>
              <w:adjustRightInd w:val="0"/>
              <w:snapToGrid w:val="0"/>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sz w:val="18"/>
                <w:szCs w:val="18"/>
                <w:highlight w:val="none"/>
              </w:rPr>
              <w:t>对未经风景名胜区管理机构审核，在风景名胜区进行设置、张贴商业广告的；举办大型游乐等活动的；改变水资源、水环境自然状态的活动的；其他影响生态和景观的活动的处罚</w:t>
            </w:r>
          </w:p>
        </w:tc>
        <w:tc>
          <w:tcPr>
            <w:tcW w:w="607" w:type="dxa"/>
            <w:noWrap w:val="0"/>
            <w:vAlign w:val="center"/>
          </w:tcPr>
          <w:p w14:paraId="24E8BD54">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BDA8AC5">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0214160000</w:t>
            </w:r>
          </w:p>
        </w:tc>
        <w:tc>
          <w:tcPr>
            <w:tcW w:w="1538" w:type="dxa"/>
            <w:noWrap w:val="0"/>
            <w:vAlign w:val="center"/>
          </w:tcPr>
          <w:p w14:paraId="4267F615">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【行政法规】《风景名胜区条例》（2016年国务院令第666号修改）</w:t>
            </w:r>
          </w:p>
          <w:p w14:paraId="4F5E753B">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第四十五条  违反本条例的规定，未经风景名胜区管理机构审核，在风景名胜区进行下列活动的，由风景名胜区管理机构责令停止违法行为、限期恢复原状或者采取其他补救措施，没收违法所得，并处5万元以上10万元以下的罚款；情节严重的，并处10万元以上20万元以下的罚款。</w:t>
            </w:r>
          </w:p>
          <w:p w14:paraId="2AB6B633">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（一）设置、张贴商业广告的；</w:t>
            </w:r>
          </w:p>
          <w:p w14:paraId="40590119">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（二）举办大型游乐等活动的；</w:t>
            </w:r>
          </w:p>
          <w:p w14:paraId="1822C216">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（三）改变水资源、水环境自然状态的活动的；</w:t>
            </w:r>
          </w:p>
          <w:p w14:paraId="6CA6C7A7">
            <w:pPr>
              <w:widowControl/>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kern w:val="0"/>
                <w:sz w:val="18"/>
                <w:szCs w:val="18"/>
                <w:highlight w:val="none"/>
              </w:rPr>
              <w:t>（四）其他影响生态和景观的活动。</w:t>
            </w:r>
          </w:p>
        </w:tc>
        <w:tc>
          <w:tcPr>
            <w:tcW w:w="607" w:type="dxa"/>
            <w:noWrap w:val="0"/>
            <w:vAlign w:val="center"/>
          </w:tcPr>
          <w:p w14:paraId="333F60B8">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对未经风景名胜区管理机构审核，在风景名胜区进行设置、张贴商业广告的；举办大型游乐等活动的；改变水资源、水环境自然状态的活动的；其他影响生态和景观的活动的处罚</w:t>
            </w:r>
          </w:p>
        </w:tc>
        <w:tc>
          <w:tcPr>
            <w:tcW w:w="1899" w:type="dxa"/>
            <w:noWrap w:val="0"/>
            <w:vAlign w:val="center"/>
          </w:tcPr>
          <w:p w14:paraId="483DD4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CDAD7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BE7F4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2B475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D68C4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3D14E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D698B7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25D204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46CA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547FB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EE1B9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86C6EAE">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99AC8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5693F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CEB30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78E50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486CBB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BAAF2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73269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0B3BD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96524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4CE64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3F9B8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FF451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F9AB0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BFBB1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E6290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0457F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901A8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9CA47E2">
            <w:pPr>
              <w:shd w:val="clear" w:color="auto" w:fill="FFFFFF"/>
              <w:adjustRightInd w:val="0"/>
              <w:snapToGrid w:val="0"/>
              <w:rPr>
                <w:rFonts w:hint="eastAsia" w:ascii="仿宋_GB2312" w:hAnsi="仿宋_GB2312" w:eastAsia="仿宋_GB2312" w:cs="仿宋_GB2312"/>
                <w:color w:val="auto"/>
                <w:sz w:val="18"/>
                <w:szCs w:val="18"/>
                <w:highlight w:val="none"/>
              </w:rPr>
            </w:pPr>
          </w:p>
          <w:p w14:paraId="778F79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0D5D3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9A962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80C9C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9FEB0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6DBC96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01AF0D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3C2AD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3371AF4">
            <w:pPr>
              <w:shd w:val="clear" w:color="auto" w:fill="FFFFFF"/>
              <w:adjustRightInd w:val="0"/>
              <w:snapToGrid w:val="0"/>
              <w:rPr>
                <w:rFonts w:hint="eastAsia" w:ascii="仿宋_GB2312" w:hAnsi="仿宋_GB2312" w:eastAsia="仿宋_GB2312" w:cs="仿宋_GB2312"/>
                <w:color w:val="auto"/>
                <w:sz w:val="18"/>
                <w:szCs w:val="18"/>
                <w:highlight w:val="none"/>
              </w:rPr>
            </w:pPr>
          </w:p>
          <w:p w14:paraId="085896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63FF4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021D4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4D151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D6534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50F63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87D58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D987E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3BFE3AB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7D92DE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B4153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6CD05C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11D267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8A490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ECA4E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1B3DF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907A4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9F9F7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0E187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11285FE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56C34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629BE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B4E06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38DFA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CD82C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47CB1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E2DD6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4348E9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D2ECB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7664A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62567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1AB08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66DF48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499D0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2F3D7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261613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BE873D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EE487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AF2C2D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EE83F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554AA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42CCB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B56B4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FD9FB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A45DC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FF92DF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0237E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7E7078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4E2B8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CCD48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C8A8C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4C1236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E8026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296EA2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B4B512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3182BB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609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3B039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6</w:t>
            </w:r>
          </w:p>
        </w:tc>
        <w:tc>
          <w:tcPr>
            <w:tcW w:w="608" w:type="dxa"/>
            <w:noWrap w:val="0"/>
            <w:vAlign w:val="center"/>
          </w:tcPr>
          <w:p w14:paraId="706D8498">
            <w:pPr>
              <w:adjustRightInd w:val="0"/>
              <w:snapToGrid w:val="0"/>
              <w:rPr>
                <w:rFonts w:hint="eastAsia" w:ascii="仿宋_GB2312" w:hAnsi="仿宋_GB2312" w:eastAsia="仿宋_GB2312" w:cs="仿宋_GB2312"/>
                <w:bCs/>
                <w:color w:val="auto"/>
                <w:kern w:val="0"/>
                <w:position w:val="-8"/>
                <w:sz w:val="18"/>
                <w:szCs w:val="18"/>
                <w:highlight w:val="none"/>
              </w:rPr>
            </w:pPr>
            <w:r>
              <w:rPr>
                <w:rFonts w:hint="eastAsia" w:ascii="仿宋_GB2312" w:hAnsi="仿宋_GB2312" w:eastAsia="仿宋_GB2312" w:cs="仿宋_GB2312"/>
                <w:bCs/>
                <w:color w:val="auto"/>
                <w:sz w:val="18"/>
                <w:szCs w:val="18"/>
                <w:highlight w:val="none"/>
              </w:rPr>
              <w:t>对施工单位在施工过程中，对周围景物、水体、林草植被、野生动物资源和地形地貌造成破坏的处罚</w:t>
            </w:r>
          </w:p>
          <w:p w14:paraId="0B6B4808">
            <w:pPr>
              <w:adjustRightInd w:val="0"/>
              <w:snapToGrid w:val="0"/>
              <w:rPr>
                <w:rFonts w:ascii="Calibri" w:hAnsi="Calibri" w:eastAsia="宋体" w:cs="Times New Roman"/>
                <w:color w:val="auto"/>
                <w:kern w:val="2"/>
                <w:sz w:val="21"/>
                <w:szCs w:val="24"/>
                <w:highlight w:val="none"/>
                <w:lang w:val="en-US" w:eastAsia="zh-CN" w:bidi="ar-SA"/>
              </w:rPr>
            </w:pPr>
          </w:p>
        </w:tc>
        <w:tc>
          <w:tcPr>
            <w:tcW w:w="607" w:type="dxa"/>
            <w:noWrap w:val="0"/>
            <w:vAlign w:val="center"/>
          </w:tcPr>
          <w:p w14:paraId="205B2226">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9781950">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0214161000</w:t>
            </w:r>
          </w:p>
        </w:tc>
        <w:tc>
          <w:tcPr>
            <w:tcW w:w="1538" w:type="dxa"/>
            <w:noWrap w:val="0"/>
            <w:vAlign w:val="center"/>
          </w:tcPr>
          <w:p w14:paraId="27B043C7">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【行政法规】《风景名胜区条例》（2016年国务院令第666号修改）</w:t>
            </w:r>
          </w:p>
          <w:p w14:paraId="4BEA9792">
            <w:pPr>
              <w:widowControl/>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kern w:val="0"/>
                <w:sz w:val="18"/>
                <w:szCs w:val="18"/>
                <w:highlight w:val="none"/>
              </w:rPr>
              <w:t>第四十六条  违反本条例的规定，施工单位在施工过程中，对周围景物、水体、林草植被、野生动物资源和地形地貌造成破坏的，由风景名胜区管理机构责令停止违法行为、限期恢复原状或者采取其他补救措施，并处2万元以上10万元以下的罚款；逾期未恢复原状或者采取有效措施的，由风景名胜区管理机构责令停止施工。</w:t>
            </w:r>
          </w:p>
        </w:tc>
        <w:tc>
          <w:tcPr>
            <w:tcW w:w="607" w:type="dxa"/>
            <w:noWrap w:val="0"/>
            <w:vAlign w:val="center"/>
          </w:tcPr>
          <w:p w14:paraId="05714E43">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对施工单位在施工过程中，对周围景物、水体、林草植被、野生动物资源和地形地貌造成破坏的处罚</w:t>
            </w:r>
          </w:p>
        </w:tc>
        <w:tc>
          <w:tcPr>
            <w:tcW w:w="1899" w:type="dxa"/>
            <w:noWrap w:val="0"/>
            <w:vAlign w:val="center"/>
          </w:tcPr>
          <w:p w14:paraId="2550B3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30091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DE266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9903F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C9CDC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24F35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154270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2CC9D0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BD6D5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82198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252B3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C45450A">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C56AB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E565A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ED3B4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848BD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5C283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39640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3B93C9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03186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CB584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70723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EB0DF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49FCA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584C0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29D5F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108CE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7805AA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4B27B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AC35477">
            <w:pPr>
              <w:shd w:val="clear" w:color="auto" w:fill="FFFFFF"/>
              <w:adjustRightInd w:val="0"/>
              <w:snapToGrid w:val="0"/>
              <w:rPr>
                <w:rFonts w:hint="eastAsia" w:ascii="仿宋_GB2312" w:hAnsi="仿宋_GB2312" w:eastAsia="仿宋_GB2312" w:cs="仿宋_GB2312"/>
                <w:color w:val="auto"/>
                <w:sz w:val="18"/>
                <w:szCs w:val="18"/>
                <w:highlight w:val="none"/>
              </w:rPr>
            </w:pPr>
          </w:p>
          <w:p w14:paraId="7CE6C6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33EC8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A608B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9B03F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AD832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329B7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17C09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FD42C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FA0EE73">
            <w:pPr>
              <w:shd w:val="clear" w:color="auto" w:fill="FFFFFF"/>
              <w:adjustRightInd w:val="0"/>
              <w:snapToGrid w:val="0"/>
              <w:rPr>
                <w:rFonts w:hint="eastAsia" w:ascii="仿宋_GB2312" w:hAnsi="仿宋_GB2312" w:eastAsia="仿宋_GB2312" w:cs="仿宋_GB2312"/>
                <w:color w:val="auto"/>
                <w:sz w:val="18"/>
                <w:szCs w:val="18"/>
                <w:highlight w:val="none"/>
              </w:rPr>
            </w:pPr>
          </w:p>
          <w:p w14:paraId="44FA1D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820A2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8F619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4509A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EC7C1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157C1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1897A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92C33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6A65F44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03DAAB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314AD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D194B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3BED87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B41D5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64D17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35AD5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566A2B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162BE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13B09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CFBAA8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DCA45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8D09E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88FE4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27979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58754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0A9C6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1F968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395C81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0F640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752A8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1DC92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29615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05A10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DFD87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BF268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74A29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53B440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45AAF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F07771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2D2C52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D2DC1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242A9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78D28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9E79B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6D8A0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59C3DC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E58E6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1E1B8E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EAA55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F5CC6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889F5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9F988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A0C12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B75166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B5F39D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372F24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FFC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5874C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7</w:t>
            </w:r>
          </w:p>
        </w:tc>
        <w:tc>
          <w:tcPr>
            <w:tcW w:w="608" w:type="dxa"/>
            <w:noWrap w:val="0"/>
            <w:vAlign w:val="center"/>
          </w:tcPr>
          <w:p w14:paraId="6504ADBE">
            <w:pPr>
              <w:adjustRightInd w:val="0"/>
              <w:snapToGrid w:val="0"/>
              <w:jc w:val="left"/>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sz w:val="18"/>
                <w:szCs w:val="18"/>
                <w:highlight w:val="none"/>
              </w:rPr>
              <w:t>对建设工程绿化用地面积达不到规定标准的处罚</w:t>
            </w:r>
          </w:p>
        </w:tc>
        <w:tc>
          <w:tcPr>
            <w:tcW w:w="607" w:type="dxa"/>
            <w:noWrap w:val="0"/>
            <w:vAlign w:val="center"/>
          </w:tcPr>
          <w:p w14:paraId="55954B6A">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C74AD1B">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0214200000</w:t>
            </w:r>
          </w:p>
        </w:tc>
        <w:tc>
          <w:tcPr>
            <w:tcW w:w="1538" w:type="dxa"/>
            <w:noWrap w:val="0"/>
            <w:vAlign w:val="center"/>
          </w:tcPr>
          <w:p w14:paraId="374EE1A9">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【地方性法规】《宁夏回族自治区城市绿化管理条例》（201</w:t>
            </w:r>
            <w:r>
              <w:rPr>
                <w:rFonts w:hint="eastAsia" w:ascii="仿宋_GB2312" w:hAnsi="仿宋_GB2312" w:eastAsia="仿宋_GB2312" w:cs="仿宋_GB2312"/>
                <w:bCs/>
                <w:color w:val="auto"/>
                <w:kern w:val="0"/>
                <w:sz w:val="18"/>
                <w:szCs w:val="18"/>
                <w:highlight w:val="none"/>
                <w:lang w:val="en-US" w:eastAsia="zh-CN"/>
              </w:rPr>
              <w:t>9</w:t>
            </w:r>
            <w:r>
              <w:rPr>
                <w:rFonts w:hint="eastAsia" w:ascii="仿宋_GB2312" w:hAnsi="仿宋_GB2312" w:eastAsia="仿宋_GB2312" w:cs="仿宋_GB2312"/>
                <w:bCs/>
                <w:color w:val="auto"/>
                <w:kern w:val="0"/>
                <w:sz w:val="18"/>
                <w:szCs w:val="18"/>
                <w:highlight w:val="none"/>
              </w:rPr>
              <w:t>年修</w:t>
            </w:r>
            <w:r>
              <w:rPr>
                <w:rFonts w:hint="eastAsia" w:ascii="仿宋_GB2312" w:hAnsi="仿宋_GB2312" w:eastAsia="仿宋_GB2312" w:cs="仿宋_GB2312"/>
                <w:bCs/>
                <w:color w:val="auto"/>
                <w:kern w:val="0"/>
                <w:sz w:val="18"/>
                <w:szCs w:val="18"/>
                <w:highlight w:val="none"/>
                <w:lang w:eastAsia="zh-CN"/>
              </w:rPr>
              <w:t>正</w:t>
            </w:r>
            <w:r>
              <w:rPr>
                <w:rFonts w:hint="eastAsia" w:ascii="仿宋_GB2312" w:hAnsi="仿宋_GB2312" w:eastAsia="仿宋_GB2312" w:cs="仿宋_GB2312"/>
                <w:bCs/>
                <w:color w:val="auto"/>
                <w:kern w:val="0"/>
                <w:sz w:val="18"/>
                <w:szCs w:val="18"/>
                <w:highlight w:val="none"/>
              </w:rPr>
              <w:t>）</w:t>
            </w:r>
          </w:p>
          <w:p w14:paraId="6907E9E3">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第八条  城市新建、扩建、改建工程必须安排一定的绿化用地，其所占建设用地面积的比例为：</w:t>
            </w:r>
          </w:p>
          <w:p w14:paraId="1D85BD66">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（一）新建居住区不低于30％，旧城改建区不低于25％；</w:t>
            </w:r>
          </w:p>
          <w:p w14:paraId="69D483AF">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（二）新建市区主干道不低于20％，次干道不低于15％；</w:t>
            </w:r>
          </w:p>
          <w:p w14:paraId="21402D29">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（三）新建学校、医院、疗养院所、公共文化设施和机关团体等单位不低于30％；</w:t>
            </w:r>
          </w:p>
          <w:p w14:paraId="0F659374">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（四）新建经济技术开发区不低于30％，工矿企业不低于25％，产生有毒有害物质，污染环境的工厂不低于35％，并在其周围营造卫生防护林带；</w:t>
            </w:r>
          </w:p>
          <w:p w14:paraId="77254A14">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（五）城市商业区不低于20％；</w:t>
            </w:r>
          </w:p>
          <w:p w14:paraId="30D6D834">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（六）其他工程建设项目地处城市建成区的，不低于25％，地处城市建成区以外的不低于30％。</w:t>
            </w:r>
          </w:p>
          <w:p w14:paraId="2D5BB2C0">
            <w:pPr>
              <w:widowControl/>
              <w:adjustRightInd w:val="0"/>
              <w:snapToGrid w:val="0"/>
              <w:ind w:firstLine="360" w:firstLineChars="200"/>
              <w:jc w:val="left"/>
              <w:rPr>
                <w:rFonts w:hint="eastAsia" w:ascii="仿宋_GB2312" w:hAnsi="仿宋_GB2312" w:eastAsia="仿宋_GB2312" w:cs="仿宋_GB2312"/>
                <w:bCs/>
                <w:color w:val="auto"/>
                <w:kern w:val="0"/>
                <w:sz w:val="18"/>
                <w:szCs w:val="18"/>
                <w:highlight w:val="none"/>
              </w:rPr>
            </w:pPr>
            <w:r>
              <w:rPr>
                <w:rFonts w:hint="eastAsia" w:ascii="仿宋_GB2312" w:hAnsi="仿宋_GB2312" w:eastAsia="仿宋_GB2312" w:cs="仿宋_GB2312"/>
                <w:bCs/>
                <w:color w:val="auto"/>
                <w:kern w:val="0"/>
                <w:sz w:val="18"/>
                <w:szCs w:val="18"/>
                <w:highlight w:val="none"/>
              </w:rPr>
              <w:t>创建国家园林城市的，按照国家园林城市标准执行。</w:t>
            </w:r>
          </w:p>
          <w:p w14:paraId="1542B265">
            <w:pPr>
              <w:widowControl/>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kern w:val="0"/>
                <w:sz w:val="18"/>
                <w:szCs w:val="18"/>
                <w:highlight w:val="none"/>
              </w:rPr>
              <w:t>第三十条  违反本条例第八条规定，建设工程绿化用地面积达不到规定标准的，由城市绿化行政主管部门责令限期改正；逾期仍达不到规定标准的，处以所缺绿化用地面积建设费用三至五倍的罚款。</w:t>
            </w:r>
          </w:p>
        </w:tc>
        <w:tc>
          <w:tcPr>
            <w:tcW w:w="607" w:type="dxa"/>
            <w:noWrap w:val="0"/>
            <w:vAlign w:val="center"/>
          </w:tcPr>
          <w:p w14:paraId="04CBA734">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对建设工程绿化用地面积达不到规定标准的处罚</w:t>
            </w:r>
          </w:p>
        </w:tc>
        <w:tc>
          <w:tcPr>
            <w:tcW w:w="1899" w:type="dxa"/>
            <w:noWrap w:val="0"/>
            <w:vAlign w:val="center"/>
          </w:tcPr>
          <w:p w14:paraId="5A1EAF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6CEF2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E821A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43750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40C9C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F4AF5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10543F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A15956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9E130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EC183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200CE1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EB08FDC">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CA4A7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DBFF3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737279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7419F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4C5C9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327C2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F5971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7140D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4BB2A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32CB6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8D480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DB5B3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4D7BC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EBD35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9F429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A1964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C1DA0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00E1A37">
            <w:pPr>
              <w:shd w:val="clear" w:color="auto" w:fill="FFFFFF"/>
              <w:adjustRightInd w:val="0"/>
              <w:snapToGrid w:val="0"/>
              <w:rPr>
                <w:rFonts w:hint="eastAsia" w:ascii="仿宋_GB2312" w:hAnsi="仿宋_GB2312" w:eastAsia="仿宋_GB2312" w:cs="仿宋_GB2312"/>
                <w:color w:val="auto"/>
                <w:sz w:val="18"/>
                <w:szCs w:val="18"/>
                <w:highlight w:val="none"/>
              </w:rPr>
            </w:pPr>
          </w:p>
          <w:p w14:paraId="196EF9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91E80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E4E39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A7B39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FCC58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A3709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3CB73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FB543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E07A1C0">
            <w:pPr>
              <w:shd w:val="clear" w:color="auto" w:fill="FFFFFF"/>
              <w:adjustRightInd w:val="0"/>
              <w:snapToGrid w:val="0"/>
              <w:rPr>
                <w:rFonts w:hint="eastAsia" w:ascii="仿宋_GB2312" w:hAnsi="仿宋_GB2312" w:eastAsia="仿宋_GB2312" w:cs="仿宋_GB2312"/>
                <w:color w:val="auto"/>
                <w:sz w:val="18"/>
                <w:szCs w:val="18"/>
                <w:highlight w:val="none"/>
              </w:rPr>
            </w:pPr>
          </w:p>
          <w:p w14:paraId="45ED05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817AB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2667D9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B6D96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3CC55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BB788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0BEAA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08F83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40BAF01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73A214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88C4E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6EC9AB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F1494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81298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A51C5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AC732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E2CFA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9A299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721D4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46AF74D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FCB1D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1F8DD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F66CB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F47E4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1112B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96FD7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71363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E415F2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4B15C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A5DC8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38722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59EB57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CDBA9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CD734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6A8AC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F859B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585743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7EF8B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98506A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1DBBD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615F5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37A20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C1D83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0B28C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7F67D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AB9B93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BEB60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0C9EFF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73BB0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8C8E0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A6260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D434E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A127F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AE803F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89C90D3">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51CB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D4D6B7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8</w:t>
            </w:r>
          </w:p>
        </w:tc>
        <w:tc>
          <w:tcPr>
            <w:tcW w:w="608" w:type="dxa"/>
            <w:noWrap w:val="0"/>
            <w:vAlign w:val="center"/>
          </w:tcPr>
          <w:p w14:paraId="62AE2855">
            <w:pPr>
              <w:adjustRightInd w:val="0"/>
              <w:snapToGrid w:val="0"/>
              <w:jc w:val="left"/>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bCs/>
                <w:color w:val="auto"/>
                <w:sz w:val="18"/>
                <w:szCs w:val="18"/>
                <w:highlight w:val="none"/>
              </w:rPr>
              <w:t>对工程建设项目的附属绿化工程等绿化工程的设计方案未经批准进行施工的处罚</w:t>
            </w:r>
          </w:p>
        </w:tc>
        <w:tc>
          <w:tcPr>
            <w:tcW w:w="607" w:type="dxa"/>
            <w:noWrap w:val="0"/>
            <w:vAlign w:val="center"/>
          </w:tcPr>
          <w:p w14:paraId="2BBEEEB6">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BEAE227">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0214201000</w:t>
            </w:r>
          </w:p>
        </w:tc>
        <w:tc>
          <w:tcPr>
            <w:tcW w:w="1538" w:type="dxa"/>
            <w:noWrap w:val="0"/>
            <w:vAlign w:val="center"/>
          </w:tcPr>
          <w:p w14:paraId="62227684">
            <w:pPr>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 xml:space="preserve">   【行政法规】《城市绿化条例》（2017年国务院令第676号修正）</w:t>
            </w:r>
          </w:p>
          <w:p w14:paraId="42531B19">
            <w:pPr>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第二十五条  工程建设项目的附属绿化工程设计方案未经批准或者未按照批准的设计方案施工的，由城市人民政府城市绿化行政主管部门责令停止施工、限期改正或者采取其他补救措施。</w:t>
            </w:r>
          </w:p>
          <w:p w14:paraId="6E69E757">
            <w:pPr>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【地方性法规】《宁夏回族自治区城市绿化管理条例》（201</w:t>
            </w:r>
            <w:r>
              <w:rPr>
                <w:rFonts w:hint="eastAsia" w:ascii="仿宋_GB2312" w:hAnsi="仿宋_GB2312" w:eastAsia="仿宋_GB2312" w:cs="仿宋_GB2312"/>
                <w:bCs/>
                <w:color w:val="auto"/>
                <w:sz w:val="18"/>
                <w:szCs w:val="18"/>
                <w:highlight w:val="none"/>
                <w:lang w:val="en-US" w:eastAsia="zh-CN"/>
              </w:rPr>
              <w:t>9</w:t>
            </w:r>
            <w:r>
              <w:rPr>
                <w:rFonts w:hint="eastAsia" w:ascii="仿宋_GB2312" w:hAnsi="仿宋_GB2312" w:eastAsia="仿宋_GB2312" w:cs="仿宋_GB2312"/>
                <w:bCs/>
                <w:color w:val="auto"/>
                <w:sz w:val="18"/>
                <w:szCs w:val="18"/>
                <w:highlight w:val="none"/>
              </w:rPr>
              <w:t>年修</w:t>
            </w:r>
            <w:r>
              <w:rPr>
                <w:rFonts w:hint="eastAsia" w:ascii="仿宋_GB2312" w:hAnsi="仿宋_GB2312" w:eastAsia="仿宋_GB2312" w:cs="仿宋_GB2312"/>
                <w:bCs/>
                <w:color w:val="auto"/>
                <w:sz w:val="18"/>
                <w:szCs w:val="18"/>
                <w:highlight w:val="none"/>
                <w:lang w:eastAsia="zh-CN"/>
              </w:rPr>
              <w:t>正</w:t>
            </w:r>
            <w:r>
              <w:rPr>
                <w:rFonts w:hint="eastAsia" w:ascii="仿宋_GB2312" w:hAnsi="仿宋_GB2312" w:eastAsia="仿宋_GB2312" w:cs="仿宋_GB2312"/>
                <w:bCs/>
                <w:color w:val="auto"/>
                <w:sz w:val="18"/>
                <w:szCs w:val="18"/>
                <w:highlight w:val="none"/>
              </w:rPr>
              <w:t>）</w:t>
            </w:r>
          </w:p>
          <w:p w14:paraId="55F5F89D">
            <w:pPr>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第十三条  工程建设项目的附属绿化工程设计方案，按照基本建设程序审批时，必须有城市绿化行政主管部门参加审查。</w:t>
            </w:r>
          </w:p>
          <w:p w14:paraId="539A2E39">
            <w:pPr>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单位附属绿地的绿化规划和建设，由该单位自行负责，城市绿化行政主管部门进行监督检查，并给予技术指导。</w:t>
            </w:r>
          </w:p>
          <w:p w14:paraId="64981120">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第三十</w:t>
            </w:r>
            <w:r>
              <w:rPr>
                <w:rFonts w:hint="eastAsia" w:ascii="仿宋_GB2312" w:hAnsi="仿宋_GB2312" w:eastAsia="仿宋_GB2312" w:cs="仿宋_GB2312"/>
                <w:bCs/>
                <w:color w:val="auto"/>
                <w:sz w:val="18"/>
                <w:szCs w:val="18"/>
                <w:highlight w:val="none"/>
                <w:lang w:eastAsia="zh-CN"/>
              </w:rPr>
              <w:t>一</w:t>
            </w:r>
            <w:r>
              <w:rPr>
                <w:rFonts w:hint="eastAsia" w:ascii="仿宋_GB2312" w:hAnsi="仿宋_GB2312" w:eastAsia="仿宋_GB2312" w:cs="仿宋_GB2312"/>
                <w:bCs/>
                <w:color w:val="auto"/>
                <w:sz w:val="18"/>
                <w:szCs w:val="18"/>
                <w:highlight w:val="none"/>
              </w:rPr>
              <w:t>条  违反本条例规定，工程建设项目的附属绿化工程设计方案未经批准</w:t>
            </w:r>
            <w:r>
              <w:rPr>
                <w:rFonts w:hint="eastAsia" w:ascii="仿宋_GB2312" w:hAnsi="仿宋_GB2312" w:eastAsia="仿宋_GB2312" w:cs="仿宋_GB2312"/>
                <w:bCs/>
                <w:color w:val="auto"/>
                <w:sz w:val="18"/>
                <w:szCs w:val="18"/>
                <w:highlight w:val="none"/>
                <w:lang w:eastAsia="zh-CN"/>
              </w:rPr>
              <w:t>或未按照批准的设计方案</w:t>
            </w:r>
            <w:r>
              <w:rPr>
                <w:rFonts w:hint="eastAsia" w:ascii="仿宋_GB2312" w:hAnsi="仿宋_GB2312" w:eastAsia="仿宋_GB2312" w:cs="仿宋_GB2312"/>
                <w:bCs/>
                <w:color w:val="auto"/>
                <w:sz w:val="18"/>
                <w:szCs w:val="18"/>
                <w:highlight w:val="none"/>
              </w:rPr>
              <w:t>施工的，由城市绿化行政主管部门责令停止施工，限期</w:t>
            </w:r>
            <w:r>
              <w:rPr>
                <w:rFonts w:hint="eastAsia" w:ascii="仿宋_GB2312" w:hAnsi="仿宋_GB2312" w:eastAsia="仿宋_GB2312" w:cs="仿宋_GB2312"/>
                <w:bCs/>
                <w:color w:val="auto"/>
                <w:sz w:val="18"/>
                <w:szCs w:val="18"/>
                <w:highlight w:val="none"/>
                <w:lang w:eastAsia="zh-CN"/>
              </w:rPr>
              <w:t>改正或采取其他补救措施</w:t>
            </w:r>
            <w:r>
              <w:rPr>
                <w:rFonts w:hint="eastAsia" w:ascii="仿宋_GB2312" w:hAnsi="仿宋_GB2312" w:eastAsia="仿宋_GB2312" w:cs="仿宋_GB2312"/>
                <w:bCs/>
                <w:color w:val="auto"/>
                <w:sz w:val="18"/>
                <w:szCs w:val="18"/>
                <w:highlight w:val="none"/>
              </w:rPr>
              <w:t>。</w:t>
            </w:r>
          </w:p>
        </w:tc>
        <w:tc>
          <w:tcPr>
            <w:tcW w:w="607" w:type="dxa"/>
            <w:noWrap w:val="0"/>
            <w:vAlign w:val="center"/>
          </w:tcPr>
          <w:p w14:paraId="3D1A4A5D">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对工程建设项目的附属绿化工程等绿化工程的设计方案未经批准进行施工的处罚</w:t>
            </w:r>
          </w:p>
        </w:tc>
        <w:tc>
          <w:tcPr>
            <w:tcW w:w="1899" w:type="dxa"/>
            <w:noWrap w:val="0"/>
            <w:vAlign w:val="center"/>
          </w:tcPr>
          <w:p w14:paraId="60E2A2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045F7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23D1C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4A732A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575AA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1F852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D4C744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7DF9D2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7255F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37B3F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C198B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924FF3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31F96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3C8DD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F70E3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1FF57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85A4C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F6502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77584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D5B31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94EB3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4E697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E6924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E0471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0A36F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6D12B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E38D1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4A6A4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E228A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C33743A">
            <w:pPr>
              <w:shd w:val="clear" w:color="auto" w:fill="FFFFFF"/>
              <w:adjustRightInd w:val="0"/>
              <w:snapToGrid w:val="0"/>
              <w:rPr>
                <w:rFonts w:hint="eastAsia" w:ascii="仿宋_GB2312" w:hAnsi="仿宋_GB2312" w:eastAsia="仿宋_GB2312" w:cs="仿宋_GB2312"/>
                <w:color w:val="auto"/>
                <w:sz w:val="18"/>
                <w:szCs w:val="18"/>
                <w:highlight w:val="none"/>
              </w:rPr>
            </w:pPr>
          </w:p>
          <w:p w14:paraId="3D2A03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B6388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820E4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40C9A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C39D5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CF391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217F4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1CCD1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3F2BA22">
            <w:pPr>
              <w:shd w:val="clear" w:color="auto" w:fill="FFFFFF"/>
              <w:adjustRightInd w:val="0"/>
              <w:snapToGrid w:val="0"/>
              <w:rPr>
                <w:rFonts w:hint="eastAsia" w:ascii="仿宋_GB2312" w:hAnsi="仿宋_GB2312" w:eastAsia="仿宋_GB2312" w:cs="仿宋_GB2312"/>
                <w:color w:val="auto"/>
                <w:sz w:val="18"/>
                <w:szCs w:val="18"/>
                <w:highlight w:val="none"/>
              </w:rPr>
            </w:pPr>
          </w:p>
          <w:p w14:paraId="3A0B18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A0A8F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850C9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34D2A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0B250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19C60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A60CB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7673B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58D12C2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314BEF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24E0C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B6D6E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61F39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EA073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BABE6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2C083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8D9F8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41763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E14A2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4BB5F2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3B6C0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30B3F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963F9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F0FC4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5803C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06289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0D764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D755DD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EE920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50ABC4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09CEF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4B4C06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6E57E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CBD8E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D8351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2A00C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9A90C3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1683F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757932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DF175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B6666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36517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69D1B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6AEB7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75D42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08FCE3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89BF4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C0FA91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8C5EB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9338F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10924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9431D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641E8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C0DDC1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E0C4B8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F1F930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D19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4D86B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9</w:t>
            </w:r>
          </w:p>
        </w:tc>
        <w:tc>
          <w:tcPr>
            <w:tcW w:w="608" w:type="dxa"/>
            <w:noWrap w:val="0"/>
            <w:vAlign w:val="center"/>
          </w:tcPr>
          <w:p w14:paraId="2DDCDBC5">
            <w:pPr>
              <w:adjustRightInd w:val="0"/>
              <w:snapToGrid w:val="0"/>
              <w:jc w:val="left"/>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对工程建设项目在第二个绿化季节尚未完成附属绿化工程的处罚</w:t>
            </w:r>
          </w:p>
        </w:tc>
        <w:tc>
          <w:tcPr>
            <w:tcW w:w="607" w:type="dxa"/>
            <w:noWrap w:val="0"/>
            <w:vAlign w:val="center"/>
          </w:tcPr>
          <w:p w14:paraId="3B37AFD9">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012412C">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0214202000</w:t>
            </w:r>
          </w:p>
        </w:tc>
        <w:tc>
          <w:tcPr>
            <w:tcW w:w="1538" w:type="dxa"/>
            <w:noWrap w:val="0"/>
            <w:vAlign w:val="center"/>
          </w:tcPr>
          <w:p w14:paraId="646D381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【地方性法规】《宁夏回族自治区城市绿化管理条例》（201</w:t>
            </w:r>
            <w:r>
              <w:rPr>
                <w:rFonts w:hint="eastAsia" w:ascii="仿宋_GB2312" w:hAnsi="仿宋_GB2312" w:eastAsia="仿宋_GB2312" w:cs="仿宋_GB2312"/>
                <w:color w:val="auto"/>
                <w:sz w:val="18"/>
                <w:szCs w:val="18"/>
                <w:highlight w:val="none"/>
                <w:lang w:val="en-US" w:eastAsia="zh-CN"/>
              </w:rPr>
              <w:t>9</w:t>
            </w:r>
            <w:r>
              <w:rPr>
                <w:rFonts w:hint="eastAsia" w:ascii="仿宋_GB2312" w:hAnsi="仿宋_GB2312" w:eastAsia="仿宋_GB2312" w:cs="仿宋_GB2312"/>
                <w:color w:val="auto"/>
                <w:sz w:val="18"/>
                <w:szCs w:val="18"/>
                <w:highlight w:val="none"/>
              </w:rPr>
              <w:t>年修</w:t>
            </w:r>
            <w:r>
              <w:rPr>
                <w:rFonts w:hint="eastAsia" w:ascii="仿宋_GB2312" w:hAnsi="仿宋_GB2312" w:eastAsia="仿宋_GB2312" w:cs="仿宋_GB2312"/>
                <w:color w:val="auto"/>
                <w:sz w:val="18"/>
                <w:szCs w:val="18"/>
                <w:highlight w:val="none"/>
                <w:lang w:eastAsia="zh-CN"/>
              </w:rPr>
              <w:t>正</w:t>
            </w:r>
            <w:r>
              <w:rPr>
                <w:rFonts w:hint="eastAsia" w:ascii="仿宋_GB2312" w:hAnsi="仿宋_GB2312" w:eastAsia="仿宋_GB2312" w:cs="仿宋_GB2312"/>
                <w:color w:val="auto"/>
                <w:sz w:val="18"/>
                <w:szCs w:val="18"/>
                <w:highlight w:val="none"/>
              </w:rPr>
              <w:t>）</w:t>
            </w:r>
          </w:p>
          <w:p w14:paraId="49F741F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w:t>
            </w:r>
            <w:r>
              <w:rPr>
                <w:rFonts w:hint="eastAsia" w:ascii="仿宋_GB2312" w:hAnsi="仿宋_GB2312" w:eastAsia="仿宋_GB2312" w:cs="仿宋_GB2312"/>
                <w:color w:val="auto"/>
                <w:sz w:val="18"/>
                <w:szCs w:val="18"/>
                <w:highlight w:val="none"/>
                <w:lang w:eastAsia="zh-CN"/>
              </w:rPr>
              <w:t>五</w:t>
            </w:r>
            <w:r>
              <w:rPr>
                <w:rFonts w:hint="eastAsia" w:ascii="仿宋_GB2312" w:hAnsi="仿宋_GB2312" w:eastAsia="仿宋_GB2312" w:cs="仿宋_GB2312"/>
                <w:color w:val="auto"/>
                <w:sz w:val="18"/>
                <w:szCs w:val="18"/>
                <w:highlight w:val="none"/>
              </w:rPr>
              <w:t>条  城市工程建设项目的附属绿化工程，应当由建设单位在工程建设项目主体工程投入使用后的第二个绿化季节内完成。</w:t>
            </w:r>
          </w:p>
          <w:p w14:paraId="25F30A58">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w:t>
            </w:r>
            <w:r>
              <w:rPr>
                <w:rFonts w:hint="eastAsia" w:ascii="仿宋_GB2312" w:hAnsi="仿宋_GB2312" w:eastAsia="仿宋_GB2312" w:cs="仿宋_GB2312"/>
                <w:color w:val="auto"/>
                <w:sz w:val="18"/>
                <w:szCs w:val="18"/>
                <w:highlight w:val="none"/>
                <w:lang w:eastAsia="zh-CN"/>
              </w:rPr>
              <w:t>二</w:t>
            </w:r>
            <w:r>
              <w:rPr>
                <w:rFonts w:hint="eastAsia" w:ascii="仿宋_GB2312" w:hAnsi="仿宋_GB2312" w:eastAsia="仿宋_GB2312" w:cs="仿宋_GB2312"/>
                <w:color w:val="auto"/>
                <w:sz w:val="18"/>
                <w:szCs w:val="18"/>
                <w:highlight w:val="none"/>
              </w:rPr>
              <w:t>条  违反本条例第十</w:t>
            </w:r>
            <w:r>
              <w:rPr>
                <w:rFonts w:hint="eastAsia" w:ascii="仿宋_GB2312" w:hAnsi="仿宋_GB2312" w:eastAsia="仿宋_GB2312" w:cs="仿宋_GB2312"/>
                <w:color w:val="auto"/>
                <w:sz w:val="18"/>
                <w:szCs w:val="18"/>
                <w:highlight w:val="none"/>
                <w:lang w:eastAsia="zh-CN"/>
              </w:rPr>
              <w:t>五</w:t>
            </w:r>
            <w:r>
              <w:rPr>
                <w:rFonts w:hint="eastAsia" w:ascii="仿宋_GB2312" w:hAnsi="仿宋_GB2312" w:eastAsia="仿宋_GB2312" w:cs="仿宋_GB2312"/>
                <w:color w:val="auto"/>
                <w:sz w:val="18"/>
                <w:szCs w:val="18"/>
                <w:highlight w:val="none"/>
              </w:rPr>
              <w:t>条规定，工程建设项目在主体工程投入使用后的第二个绿化季节尚未完成附属绿化工程的，由城市绿化行政主管部门责令其限期完成；逾期仍未完成的，每年处以绿化工程造价百分之二十的罚款，直至完成附属绿化工程。</w:t>
            </w:r>
          </w:p>
        </w:tc>
        <w:tc>
          <w:tcPr>
            <w:tcW w:w="607" w:type="dxa"/>
            <w:noWrap w:val="0"/>
            <w:vAlign w:val="center"/>
          </w:tcPr>
          <w:p w14:paraId="0AC7EF1A">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对工程建设项目在第二个绿化季节尚未完成附属绿化工程的处罚</w:t>
            </w:r>
          </w:p>
        </w:tc>
        <w:tc>
          <w:tcPr>
            <w:tcW w:w="1899" w:type="dxa"/>
            <w:noWrap w:val="0"/>
            <w:vAlign w:val="center"/>
          </w:tcPr>
          <w:p w14:paraId="761A1A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0430A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3FEF2D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FB937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21FB5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20625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D18A67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97B9D0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C7FB2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18786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A0F20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CCCF9FA">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9D7F3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12D04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3402F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1C03D9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82F5E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DD3A8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67DBD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27E7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91415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899E0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6BEB91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9F965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24603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218531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6F044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E475D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34D27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764C196">
            <w:pPr>
              <w:shd w:val="clear" w:color="auto" w:fill="FFFFFF"/>
              <w:adjustRightInd w:val="0"/>
              <w:snapToGrid w:val="0"/>
              <w:rPr>
                <w:rFonts w:hint="eastAsia" w:ascii="仿宋_GB2312" w:hAnsi="仿宋_GB2312" w:eastAsia="仿宋_GB2312" w:cs="仿宋_GB2312"/>
                <w:color w:val="auto"/>
                <w:sz w:val="18"/>
                <w:szCs w:val="18"/>
                <w:highlight w:val="none"/>
              </w:rPr>
            </w:pPr>
          </w:p>
          <w:p w14:paraId="0EA049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89669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18473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39176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5120E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37646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20C559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3A14C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33E58E7">
            <w:pPr>
              <w:shd w:val="clear" w:color="auto" w:fill="FFFFFF"/>
              <w:adjustRightInd w:val="0"/>
              <w:snapToGrid w:val="0"/>
              <w:rPr>
                <w:rFonts w:hint="eastAsia" w:ascii="仿宋_GB2312" w:hAnsi="仿宋_GB2312" w:eastAsia="仿宋_GB2312" w:cs="仿宋_GB2312"/>
                <w:color w:val="auto"/>
                <w:sz w:val="18"/>
                <w:szCs w:val="18"/>
                <w:highlight w:val="none"/>
              </w:rPr>
            </w:pPr>
          </w:p>
          <w:p w14:paraId="27E1AE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53A38C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524F7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3DB701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7B254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27867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8E7D0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48335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4541AB6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6E44F4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BF0E9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646E08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3B1241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2A41E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EBD5F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B3B3D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E0DCA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6C03B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C8B7B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BF05FA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DB244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38146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5575A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C45D5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8D7C6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F44A7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87772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9E6122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7E719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EA3FF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FE6C8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8E595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F1D3F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74C2C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BB364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82EF3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DEBA55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8F319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864A5B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2CB90F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E24F9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6AD2A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85CD7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E7EC7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AB3E0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564580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494AE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A2428B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71D77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9CC41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50FF8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EFB5B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CED66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D988AD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9CB7F7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15D267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B50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2CFD7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10</w:t>
            </w:r>
          </w:p>
        </w:tc>
        <w:tc>
          <w:tcPr>
            <w:tcW w:w="608" w:type="dxa"/>
            <w:noWrap w:val="0"/>
            <w:vAlign w:val="center"/>
          </w:tcPr>
          <w:p w14:paraId="6B5D35E4">
            <w:pPr>
              <w:widowControl/>
              <w:overflowPunct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在草原上开展相关活动，未采取防火措施，或拒不采取防火措施，消除火灾隐患等行为的处罚</w:t>
            </w:r>
          </w:p>
        </w:tc>
        <w:tc>
          <w:tcPr>
            <w:tcW w:w="607" w:type="dxa"/>
            <w:noWrap w:val="0"/>
            <w:vAlign w:val="center"/>
          </w:tcPr>
          <w:p w14:paraId="59F8EBF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4ADBCBF">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0217054000</w:t>
            </w:r>
          </w:p>
        </w:tc>
        <w:tc>
          <w:tcPr>
            <w:tcW w:w="1538" w:type="dxa"/>
            <w:noWrap w:val="0"/>
            <w:vAlign w:val="center"/>
          </w:tcPr>
          <w:p w14:paraId="70DC9A3F">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【行政法规】《草原防火条例》（2008年国务院令第542号修订）</w:t>
            </w:r>
          </w:p>
          <w:p w14:paraId="23063824">
            <w:pPr>
              <w:widowControl/>
              <w:overflowPunct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第四十五条 违反本条例规定，有下列行为之一的，由县级以上地方人民政府草原防火主管部门责令停止违法行为，采取防火措施，消除火灾隐患，并对有关责任人员处200元以上2000元以下罚款，对有关责任单位处2000元以上2万元以下罚款；拒不采取防火措施、消除火灾隐患的，由县级以上地方人民政府草原防火主管部门代为采取防火措施、消除火灾隐患，所需费用由违法单位或者个人承担：</w:t>
            </w:r>
          </w:p>
          <w:p w14:paraId="3D872F6E">
            <w:pPr>
              <w:widowControl/>
              <w:overflowPunct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（一）在草原防火期内，经批准的野外用火未采取防火措施的；</w:t>
            </w:r>
          </w:p>
          <w:p w14:paraId="719FE5EB">
            <w:pPr>
              <w:widowControl/>
              <w:overflowPunct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（二）在草原上作业和行驶的机动车辆未安装防火装置或者存在火灾隐患的；</w:t>
            </w:r>
          </w:p>
          <w:p w14:paraId="6D9778EC">
            <w:pPr>
              <w:widowControl/>
              <w:overflowPunct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（三）在草原上行驶的公共交通工具上的司机、乘务人员或者旅客丢弃火种的；</w:t>
            </w:r>
          </w:p>
          <w:p w14:paraId="4B564CE4">
            <w:pPr>
              <w:widowControl/>
              <w:overflowPunct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（四）在草原上从事野外作业的机械设备作业人员不遵守防火安全操作规程或者对野外作业的机械设备未采取防火措施的；</w:t>
            </w:r>
          </w:p>
          <w:p w14:paraId="1E4AD122">
            <w:pPr>
              <w:widowControl/>
              <w:overflowPunct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（五）在草原防火管制区内未按照规定用火的。</w:t>
            </w:r>
          </w:p>
        </w:tc>
        <w:tc>
          <w:tcPr>
            <w:tcW w:w="607" w:type="dxa"/>
            <w:noWrap w:val="0"/>
            <w:vAlign w:val="center"/>
          </w:tcPr>
          <w:p w14:paraId="15067C65">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在草原上开展相关活动，未采取防火措施，或拒不采取防火措施，消除火灾隐患等行为的处罚</w:t>
            </w:r>
          </w:p>
        </w:tc>
        <w:tc>
          <w:tcPr>
            <w:tcW w:w="1899" w:type="dxa"/>
            <w:noWrap w:val="0"/>
            <w:vAlign w:val="center"/>
          </w:tcPr>
          <w:p w14:paraId="6AE5C8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A64A1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0113A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60E95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0C2C1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096DB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6A8D8C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AF6A53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B4DE5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3636C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C13E6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3522409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718C3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37923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E91DE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968C9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F492E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B2E0E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3812EC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D17CD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1040E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CD3BA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1DF74E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78E2D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F179E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8AA05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93012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5C7D3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FC683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D574E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C668A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BAB61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40A09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9C76A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ADF5A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03E305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8E3C4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0A238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5D5D2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7D6FA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0EF6B8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5030C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36022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366C6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17450D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3619E7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EF0E9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931E8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E10C7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BC7F3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51AD2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5A66B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AB862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90597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3E9A2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4273AE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458E3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3F056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79B43B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EB153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616A0E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FBA22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09920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375316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224F9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BF087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2CAD1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9E74D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A32D5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D597B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6FE18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6A007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8B5D05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CC18C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8DEA09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60C5A5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5BCA1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CCECB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FE464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C11E4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34BC0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63E5D6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F74E3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295BD9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F12E6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21892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C7753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DF4DB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B0696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F8324C8">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D5F0C29">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7722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6A9169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11</w:t>
            </w:r>
          </w:p>
        </w:tc>
        <w:tc>
          <w:tcPr>
            <w:tcW w:w="608" w:type="dxa"/>
            <w:noWrap w:val="0"/>
            <w:vAlign w:val="center"/>
          </w:tcPr>
          <w:p w14:paraId="24ADC72E">
            <w:pPr>
              <w:widowControl/>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未取得采集证或者未按照采集证的规定采集国家重点保护野生植物的处罚</w:t>
            </w:r>
          </w:p>
        </w:tc>
        <w:tc>
          <w:tcPr>
            <w:tcW w:w="607" w:type="dxa"/>
            <w:noWrap w:val="0"/>
            <w:vAlign w:val="center"/>
          </w:tcPr>
          <w:p w14:paraId="6753D7A6">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48AE468B">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0217090000</w:t>
            </w:r>
          </w:p>
        </w:tc>
        <w:tc>
          <w:tcPr>
            <w:tcW w:w="1538" w:type="dxa"/>
            <w:noWrap w:val="0"/>
            <w:vAlign w:val="center"/>
          </w:tcPr>
          <w:p w14:paraId="1997FD8A">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【行政法规】《中华人民共和国野生植物保护条例》（2017年国务院令第687号修正）</w:t>
            </w:r>
          </w:p>
          <w:p w14:paraId="5C0D8C54">
            <w:pPr>
              <w:widowControl/>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第二十三条 未取得采集证或者未按照采集证的规定采集国家重点保护野生植物的，由野生植物行政主管部门没收所采集的野生植物和违法所得，可以并处违法所得10倍以下的罚款；有采集证的，并可以吊销采集证。</w:t>
            </w:r>
          </w:p>
        </w:tc>
        <w:tc>
          <w:tcPr>
            <w:tcW w:w="607" w:type="dxa"/>
            <w:noWrap w:val="0"/>
            <w:vAlign w:val="center"/>
          </w:tcPr>
          <w:p w14:paraId="571AEB0B">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未取得采集证或者未按照采集证的规定采集国家重点保护野生植物的处罚；并可吊销采集证</w:t>
            </w:r>
          </w:p>
        </w:tc>
        <w:tc>
          <w:tcPr>
            <w:tcW w:w="1899" w:type="dxa"/>
            <w:noWrap w:val="0"/>
            <w:vAlign w:val="center"/>
          </w:tcPr>
          <w:p w14:paraId="2C49AE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AA528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3BB7AF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1D263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5230B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1EF07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3B6ED1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0B660B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83BC9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6D3AD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B4AAA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3B1071AA">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A4AE5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9FB0E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19118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351D5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FBE77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91E2B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FC876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8B6D0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37351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58AC4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A04AB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FE36C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2D626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07C93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5ABE2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F871A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26B87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4BAAF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6FA5C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249A6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EE274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86363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D307C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2E029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BCB20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8AF7C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11C78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2021B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E21E1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14ABA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D3BB2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C6835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1144D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415603B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64AD89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E9161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49C01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110A2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0FF40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2CAED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29530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64761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83CD3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8E12E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460303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FD31E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A6683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243A4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5F602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89AB2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0CC91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ADC51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36B1A85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4A6C2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A1DF1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89298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D2CF9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DBCDC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7E733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80785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D737D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5B1F67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28347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FF1D3F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855B6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252AC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7F30D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762ED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780FE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60B9C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F91BB1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B9A2C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A789F5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C3552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88AC2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6CF38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69C6D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EA580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3DEB88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93F9D8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DFC6A6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646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7CF1A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12</w:t>
            </w:r>
          </w:p>
        </w:tc>
        <w:tc>
          <w:tcPr>
            <w:tcW w:w="608" w:type="dxa"/>
            <w:noWrap w:val="0"/>
            <w:vAlign w:val="center"/>
          </w:tcPr>
          <w:p w14:paraId="1F966CE2">
            <w:pPr>
              <w:widowControl/>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对违规出售、收购国家重点保护野生植物的处罚</w:t>
            </w:r>
          </w:p>
        </w:tc>
        <w:tc>
          <w:tcPr>
            <w:tcW w:w="607" w:type="dxa"/>
            <w:noWrap w:val="0"/>
            <w:vAlign w:val="center"/>
          </w:tcPr>
          <w:p w14:paraId="22532E6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DE1E20C">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0217091000</w:t>
            </w:r>
          </w:p>
        </w:tc>
        <w:tc>
          <w:tcPr>
            <w:tcW w:w="1538" w:type="dxa"/>
            <w:noWrap w:val="0"/>
            <w:vAlign w:val="center"/>
          </w:tcPr>
          <w:p w14:paraId="046FEEFA">
            <w:pPr>
              <w:widowControl/>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kern w:val="0"/>
                <w:sz w:val="18"/>
                <w:szCs w:val="18"/>
                <w:highlight w:val="none"/>
              </w:rPr>
              <w:t>【行政法规】《中华人民共和国野生植物保护条例》</w:t>
            </w:r>
            <w:r>
              <w:rPr>
                <w:rFonts w:hint="eastAsia" w:ascii="仿宋_GB2312" w:hAnsi="仿宋_GB2312" w:eastAsia="仿宋_GB2312" w:cs="仿宋_GB2312"/>
                <w:color w:val="auto"/>
                <w:sz w:val="18"/>
                <w:szCs w:val="18"/>
                <w:highlight w:val="none"/>
              </w:rPr>
              <w:t>（2017年国务院令第687号修正）</w:t>
            </w:r>
          </w:p>
          <w:p w14:paraId="36A59FC5">
            <w:pPr>
              <w:widowControl/>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第二十四条 违反本条例规定，出售、收购国家重点保护野生植物的，由工商行政管理部门或者野生植物行政主管部门按照职责分工没收野生植物和违法所得，可以并处违法所得10倍以下的罚款。</w:t>
            </w:r>
          </w:p>
        </w:tc>
        <w:tc>
          <w:tcPr>
            <w:tcW w:w="607" w:type="dxa"/>
            <w:noWrap w:val="0"/>
            <w:vAlign w:val="center"/>
          </w:tcPr>
          <w:p w14:paraId="79C5A6AE">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对违规出售、收购国家重点保护野生植物的处罚</w:t>
            </w:r>
          </w:p>
        </w:tc>
        <w:tc>
          <w:tcPr>
            <w:tcW w:w="1899" w:type="dxa"/>
            <w:noWrap w:val="0"/>
            <w:vAlign w:val="center"/>
          </w:tcPr>
          <w:p w14:paraId="2BD5BB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8A0BD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4CE40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8677C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A661C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4AF0B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EA3D36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89EF09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03CF4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94073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C6412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316244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A3B79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4266A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233AF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0F18B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5C8CF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3F340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45565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F1BCD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0DBD2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B2AD4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81A19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19A78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77C8E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C4B18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28483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2E7C0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6A700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2C0FC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B0B67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7F583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0734D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63FBA5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EA0A3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CB9FC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93C4E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24379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7BC5A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82B27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4CF37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77757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8902F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50E6F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CB8EF4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0D3A16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71CD7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456E1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8BF34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11E1D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589EC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68797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3C0D8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DC71D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84C10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511FDF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D7CB4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DE5DC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71287C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9FBC5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4FD4D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8E053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3CA96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64C857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A599A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74FAB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FE929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ECE11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11A61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B4469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75654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1294D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2B1B62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D2417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739BD71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615548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30B79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30FD9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89764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E9FF0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DC5BE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4FAD71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4892A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FBF471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81183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9166F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957E8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B175C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C60A0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162C1F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414654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412241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2D8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B77D70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13</w:t>
            </w:r>
          </w:p>
        </w:tc>
        <w:tc>
          <w:tcPr>
            <w:tcW w:w="608" w:type="dxa"/>
            <w:noWrap w:val="0"/>
            <w:vAlign w:val="center"/>
          </w:tcPr>
          <w:p w14:paraId="2872F4BF">
            <w:pPr>
              <w:widowControl/>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对伪造、倒卖、转让采集证、允许进出口证明书、有关批准文件、标签的处罚</w:t>
            </w:r>
          </w:p>
        </w:tc>
        <w:tc>
          <w:tcPr>
            <w:tcW w:w="607" w:type="dxa"/>
            <w:noWrap w:val="0"/>
            <w:vAlign w:val="center"/>
          </w:tcPr>
          <w:p w14:paraId="1B528266">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2D4D50D">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0217092000</w:t>
            </w:r>
          </w:p>
        </w:tc>
        <w:tc>
          <w:tcPr>
            <w:tcW w:w="1538" w:type="dxa"/>
            <w:noWrap w:val="0"/>
            <w:vAlign w:val="center"/>
          </w:tcPr>
          <w:p w14:paraId="3675FCD3">
            <w:pPr>
              <w:widowControl/>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kern w:val="0"/>
                <w:sz w:val="18"/>
                <w:szCs w:val="18"/>
                <w:highlight w:val="none"/>
              </w:rPr>
              <w:t>【行政法规】《中华人民共和国野生植物保护条例》</w:t>
            </w:r>
            <w:r>
              <w:rPr>
                <w:rFonts w:hint="eastAsia" w:ascii="仿宋_GB2312" w:hAnsi="仿宋_GB2312" w:eastAsia="仿宋_GB2312" w:cs="仿宋_GB2312"/>
                <w:color w:val="auto"/>
                <w:sz w:val="18"/>
                <w:szCs w:val="18"/>
                <w:highlight w:val="none"/>
              </w:rPr>
              <w:t>（2017年国务院令第687号修正）</w:t>
            </w:r>
          </w:p>
          <w:p w14:paraId="5A5ABC86">
            <w:pPr>
              <w:widowControl/>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第二十六条 伪造、倒卖、转让采集证、允许进出口证明书或者有关批准文件、标签的，由野生植物行政主管部门或者工商行政管理部门按照职责分工收缴，没收违法所得，可以并处5万元以下的罚款。</w:t>
            </w:r>
          </w:p>
        </w:tc>
        <w:tc>
          <w:tcPr>
            <w:tcW w:w="607" w:type="dxa"/>
            <w:noWrap w:val="0"/>
            <w:vAlign w:val="center"/>
          </w:tcPr>
          <w:p w14:paraId="6144138A">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对伪造、倒卖、转让采集证、允许进出口证明书、有关批准文件、标签的处罚</w:t>
            </w:r>
          </w:p>
        </w:tc>
        <w:tc>
          <w:tcPr>
            <w:tcW w:w="1899" w:type="dxa"/>
            <w:noWrap w:val="0"/>
            <w:vAlign w:val="center"/>
          </w:tcPr>
          <w:p w14:paraId="0CC300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CEBCB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5CDEC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35290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12475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222C0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1F4456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D46FA6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53E58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EB22B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A7B52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6C51D3F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CA37C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05270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C4F7E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53F79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61A67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C2F47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92AD5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A06CF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A4AA8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163D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32B47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7F318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6589E8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976EB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3F3F1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8ECC9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2AB15A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8F31B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F42BE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98075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5A051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6948AF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459D6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88E0A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D3B0E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43FDC6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0824D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D7D39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18671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713D9F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16FB9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6912B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3AFE7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7739F4E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230F07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AFBBB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B9CF5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FF4A8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A33AE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E78A0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4DCEF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1DAC7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CBCA8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47D0F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1C21FA4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A9CB7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58A14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57048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07127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9188B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F9429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CE917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196C77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4A853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F68C0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20505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C99CB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E814B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4ADA6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C3B2F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3F9EA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076E4C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60CD8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5A5D84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D2445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1332E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0A01D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36B99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D3191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04555F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A10A63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7A1E7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B167F8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EE786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103E0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55768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95B85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70454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91E369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2CCF4D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D9D938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3A3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0B9B3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14</w:t>
            </w:r>
          </w:p>
        </w:tc>
        <w:tc>
          <w:tcPr>
            <w:tcW w:w="608" w:type="dxa"/>
            <w:noWrap w:val="0"/>
            <w:vAlign w:val="center"/>
          </w:tcPr>
          <w:p w14:paraId="0EAF258C">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草原上的生产经营等单位未建立或者未落实草原防火责任制的处罚</w:t>
            </w:r>
          </w:p>
        </w:tc>
        <w:tc>
          <w:tcPr>
            <w:tcW w:w="607" w:type="dxa"/>
            <w:noWrap w:val="0"/>
            <w:vAlign w:val="center"/>
          </w:tcPr>
          <w:p w14:paraId="0C859EBC">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B74827A">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0217104000</w:t>
            </w:r>
          </w:p>
        </w:tc>
        <w:tc>
          <w:tcPr>
            <w:tcW w:w="1538" w:type="dxa"/>
            <w:noWrap w:val="0"/>
            <w:vAlign w:val="center"/>
          </w:tcPr>
          <w:p w14:paraId="799B244C">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【行政法规】《草原防火条例》（2008年国务院令第542号修订）</w:t>
            </w:r>
          </w:p>
          <w:p w14:paraId="5EB884BD">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第四十六条 违反本条例规定，草原上的生产经营等单位未建立或者未落实草原防火责任制的，由县级以上地方人民政府草原防火主管部门责令改正，对有关责任单位处5000元以上2万元以下罚款。</w:t>
            </w:r>
          </w:p>
        </w:tc>
        <w:tc>
          <w:tcPr>
            <w:tcW w:w="607" w:type="dxa"/>
            <w:noWrap w:val="0"/>
            <w:vAlign w:val="top"/>
          </w:tcPr>
          <w:p w14:paraId="703772D4">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草原上的生产经营等单位未建立或者未落实草原防火责任制的处罚</w:t>
            </w:r>
          </w:p>
        </w:tc>
        <w:tc>
          <w:tcPr>
            <w:tcW w:w="1899" w:type="dxa"/>
            <w:noWrap w:val="0"/>
            <w:vAlign w:val="center"/>
          </w:tcPr>
          <w:p w14:paraId="1030B8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C70BA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CDD9D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C41AD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F990E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25625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8DA998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56D351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081AA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4134F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22F60B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0F4D5CB">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034A7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8CE81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5541E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79AD4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40310D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73632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3C98AF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3A670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BAC13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4C3F8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1E9EA5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7309D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C83E1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2FE3C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BC9D6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83F22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119F9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E712D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26A96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5AAE9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D278D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6BCA5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21521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F84E3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0280D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0AEC0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A9CB7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9198D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6EC0A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5A039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29AC68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9A5BB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B9E07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7D80F4B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2B9164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F72A4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872A1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616EE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49911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75290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5DB11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F53EA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04B79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9CB6E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2C72DB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93634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31EBC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7994FD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88FC4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043FA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B7219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7E797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38C3453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EE65C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6F94A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F0B8B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F57C6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4CD03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589D9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29ABD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2E0260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7460FC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F35BD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73A3749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C8DFB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892A5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471CE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1964F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F7F98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DD49A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60F737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98170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FD93D3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E9483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811BA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C1BEF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CF840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C5E5F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82651B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E384F0C">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33D4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C60653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vertAlign w:val="baseline"/>
                <w:lang w:val="en-US" w:eastAsia="zh-CN" w:bidi="ar-SA"/>
              </w:rPr>
              <w:t>15</w:t>
            </w:r>
          </w:p>
        </w:tc>
        <w:tc>
          <w:tcPr>
            <w:tcW w:w="608" w:type="dxa"/>
            <w:noWrap w:val="0"/>
            <w:vAlign w:val="center"/>
          </w:tcPr>
          <w:p w14:paraId="2182B23E">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相关自然保护区域、禁猎（渔）区、禁猎（渔）期猎捕国家重点保护野生动物，未取得特许猎捕证、未按照特许猎捕证规定猎捕、杀害国家重点保护野生动物，或者使用禁用的工具、方法猎捕国家重点保护野生动物等行为的处罚</w:t>
            </w:r>
          </w:p>
        </w:tc>
        <w:tc>
          <w:tcPr>
            <w:tcW w:w="607" w:type="dxa"/>
            <w:noWrap w:val="0"/>
            <w:vAlign w:val="center"/>
          </w:tcPr>
          <w:p w14:paraId="62CC66F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BF9BD1E">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0217142000</w:t>
            </w:r>
          </w:p>
        </w:tc>
        <w:tc>
          <w:tcPr>
            <w:tcW w:w="1538" w:type="dxa"/>
            <w:noWrap w:val="0"/>
            <w:vAlign w:val="center"/>
          </w:tcPr>
          <w:p w14:paraId="440A156A">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【法律】《中华人民共和国野生动物保护法》（2018年修正）</w:t>
            </w:r>
          </w:p>
          <w:p w14:paraId="0F43137A">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第四十五条 违反本法第二十条、第二十一条、第二十三条第一款、第二十四条第一款规定，在相关自然保护区域、禁猎（渔）区、禁猎（渔）期猎捕国家重点保护野生动物，未取得特许猎捕证、未按照特许猎捕证规定猎捕、杀害国家重点保护野生动物，或者使用禁用的工具、方法猎捕国家重点保护野生动物的，由县级以上人民政府野生动物保护主管部门、海洋执法部门或者有关保护区域管理机构按照职责分工没收猎获物、猎捕工具和违法所得，吊销特许猎捕证，并处猎获物价值二倍以上十倍以下的罚款；没有猎获物的，并处一万元以上五万元以下的罚款；构成犯罪的，依法追究刑事责任。</w:t>
            </w:r>
          </w:p>
          <w:p w14:paraId="4CA3BF32">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第二十条 在相关自然保护区域和禁猎（渔）区、禁猎（渔）期内，禁止猎捕以及其他妨碍野生动物生息繁衍的活动，但法律法规另有规定的除外。</w:t>
            </w:r>
          </w:p>
          <w:p w14:paraId="32EF8027">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野生动物迁徙洄游期间，在前款规定区域外的迁徙洄游通道内，禁止猎捕并严格限制其他妨碍野生动物生息繁衍的活动。迁徙洄游通道的范围以及妨碍野生动物生息繁衍活动的内容，由县级以上人民政府或者其野生动物保护主管部门规定并公布。</w:t>
            </w:r>
          </w:p>
          <w:p w14:paraId="154CC14C">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第二十一条 禁止猎捕、杀害国家重点保护野生动物。</w:t>
            </w:r>
          </w:p>
          <w:p w14:paraId="35ECB170">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14:paraId="7703C25F">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第二十三条第一款 猎捕者应当按照特许猎捕证、狩猎证规定的种类、数量、地点、工具、方法和期限进行猎捕。</w:t>
            </w:r>
          </w:p>
          <w:p w14:paraId="51535D35">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第二十四条第一款 禁止使用毒药、爆炸物、电击或者电子诱捕装置以及猎套、猎夹、地枪、排铳等工具进行猎捕，禁止使用夜间照明行猎、歼灭性围猎、捣毁巢穴、火攻</w:t>
            </w:r>
          </w:p>
        </w:tc>
        <w:tc>
          <w:tcPr>
            <w:tcW w:w="607" w:type="dxa"/>
            <w:noWrap w:val="0"/>
            <w:vAlign w:val="top"/>
          </w:tcPr>
          <w:p w14:paraId="26A05F80">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相关自然保护区域、禁猎（渔）区、禁猎（渔）期猎捕国家重点保护野生动物，未取得特许猎捕证、未按照特许猎捕证规定猎捕、杀害国家重点保护野生动物，或者使用禁用的工具、方法猎捕国家重点保护野生动物等行为的处罚</w:t>
            </w:r>
          </w:p>
        </w:tc>
        <w:tc>
          <w:tcPr>
            <w:tcW w:w="1899" w:type="dxa"/>
            <w:noWrap w:val="0"/>
            <w:vAlign w:val="center"/>
          </w:tcPr>
          <w:p w14:paraId="385281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1F185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C2DEF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98155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671E8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7BDA1C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588EE48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044B36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6CE9C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38397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B044D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F75BA4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41372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54A64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0A7FD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95E7E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1B695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185ED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B0F07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D51B3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F2BB7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3C78E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FE8EF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FFCA7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3E8DA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43225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65608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83A33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43727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C6327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25C93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29A6C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29AD7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ECC78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66EDCF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08D20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AE4B0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80DBF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57BBC5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30939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0E744E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7022C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CDAC7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F698E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9181A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642BA17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22B661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DF9E7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EB09D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CF258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520AB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FDE24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FDCB5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E954D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50054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C51F2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C2098A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63D31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F3128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AD3FA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43414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3C6C2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21F9E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5D51B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C30FBA1">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C141E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02232A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E0E3C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10F44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B8BAD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04A4B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28F78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15EF0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305391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7B4D1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87A5CA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E2BAE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66633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36D92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B26B2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D9AED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2690A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B88F52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5F3D6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68DC0D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A513B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8B680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BA8A2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43A973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F9DA1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272173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5B5BE8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93F75F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88B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A1E74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16</w:t>
            </w:r>
          </w:p>
        </w:tc>
        <w:tc>
          <w:tcPr>
            <w:tcW w:w="608" w:type="dxa"/>
            <w:noWrap w:val="0"/>
            <w:vAlign w:val="center"/>
          </w:tcPr>
          <w:p w14:paraId="7355FC2D">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相关自然保护区域、禁猎（渔）区、禁猎（渔）期猎捕非国家重点保护野生动物，未取得狩猎证、未按照狩猎证规定猎捕非国家重点保护野生动物，或者使用禁用的工具、方法猎捕非国家重点保护野生动物等行为的处罚</w:t>
            </w:r>
          </w:p>
        </w:tc>
        <w:tc>
          <w:tcPr>
            <w:tcW w:w="607" w:type="dxa"/>
            <w:noWrap w:val="0"/>
            <w:vAlign w:val="center"/>
          </w:tcPr>
          <w:p w14:paraId="563B2E28">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662AC55">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0217143000</w:t>
            </w:r>
          </w:p>
        </w:tc>
        <w:tc>
          <w:tcPr>
            <w:tcW w:w="1538" w:type="dxa"/>
            <w:noWrap w:val="0"/>
            <w:vAlign w:val="top"/>
          </w:tcPr>
          <w:p w14:paraId="7C055E77">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【法律】《中华人民共和国野生动物保护法》（2018年修正）</w:t>
            </w:r>
          </w:p>
          <w:p w14:paraId="7CF6DF89">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第四十六条 违反本法第二十条、第二十二条、第二十三条第一款、第二十四条第一款规定，在相关自然保护区域、禁猎（渔）区、禁猎（渔）期猎捕非国家重点保护野生动物，未取得狩猎证、未按照狩猎证规定猎捕非国家重点保护野生动物，或者使用禁用的工具、方法猎捕非国家重点保护野生动物的，由县级以上地方人民政府野生动物保护主管部门或者有关保护区域管理机构按照职责分工没收猎获物、猎捕工具和违法所得，吊销狩猎证，并处猎获物价值一倍以上五倍以下的罚款；没有猎获物的，并处二千元以上一万元以下的罚款；构成犯罪的，依法追究刑事责任。</w:t>
            </w:r>
          </w:p>
          <w:p w14:paraId="22FA3023">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第二十条 在相关自然保护区域和禁猎（渔）区、禁猎（渔）期内，禁止猎捕以及其他妨碍野生动物生息繁衍的活动，但法律法规另有规定的除外。</w:t>
            </w:r>
          </w:p>
          <w:p w14:paraId="1EEEEC3D">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野生动物迁徙洄游期间，在前款规定区域外的迁徙洄游通道内，禁止猎捕并严格限制其他妨碍野生动物生息繁衍的活动。迁徙洄游通道的范围以及妨碍野生动物生息繁衍活动的内容，由县级以上人民政府或者其野生动物保护主管部门规定并公布。</w:t>
            </w:r>
          </w:p>
          <w:p w14:paraId="2E974598">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第二十一条 禁止猎捕、杀害国家重点保护野生动物。</w:t>
            </w:r>
          </w:p>
          <w:p w14:paraId="7ECA72A2">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14:paraId="2899AD5F">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第二十三条第一款 猎捕者应当按照特许猎捕证、狩猎证规定的种类、数量、地点、工具、方法和期限进行猎捕。</w:t>
            </w:r>
          </w:p>
          <w:p w14:paraId="10F7D510">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第二十四条第一款 禁止使用毒药、爆炸物、电击或者电子诱捕装置以及猎套、猎夹、地枪、排铳等工具进行猎捕，禁止使用夜间照明行猎、歼灭性围猎、捣毁巢穴、火攻、烟熏、网捕等方法进行猎捕，但因科学研究确需网捕、电子诱捕的除外。</w:t>
            </w:r>
          </w:p>
        </w:tc>
        <w:tc>
          <w:tcPr>
            <w:tcW w:w="607" w:type="dxa"/>
            <w:noWrap w:val="0"/>
            <w:vAlign w:val="center"/>
          </w:tcPr>
          <w:p w14:paraId="7C4F0A52">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相关自然保护区域、禁猎（渔）区、禁猎（渔）期猎捕非国家重点保护野生动物，未取得狩猎证、未按照狩猎证规定猎捕非国家重点保护野生动物，或者使用禁用的工具、方法猎捕非国家重点保护野生动物等行为的处罚</w:t>
            </w:r>
          </w:p>
        </w:tc>
        <w:tc>
          <w:tcPr>
            <w:tcW w:w="1899" w:type="dxa"/>
            <w:noWrap w:val="0"/>
            <w:vAlign w:val="center"/>
          </w:tcPr>
          <w:p w14:paraId="39E8BC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756EF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A0F5E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CDE93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37810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D0FC2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E8B20B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B75926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599E7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4EDD4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2E6CC5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94CA150">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2F49BB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8B701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303DF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E6EAE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F1720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961E7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2ABF3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33D71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4785C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FA1FF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E3DF5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E74A2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AE165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149B9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18AC7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BF7DA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7E208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148F9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632136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11747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E83B7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646E9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150AB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4CE14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E8598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A726E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46D66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41584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2AD07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5FE06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F0BF8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24796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AB843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57E4020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2BB759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05305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63B1F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5CEB4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253C0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35FFE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979F6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64486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5A25A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09696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9BEAB8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3A600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A5C0D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010CE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8834D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2A0CE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6C4F0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6A006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7C3C1B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A468A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8145E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511E2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3FF75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FC044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1119B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FF2CA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BE6DF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24E16A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9A76F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62946A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2F0D0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E88EA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E0922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67277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45595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518B9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4B7F96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E4A32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2C7D0D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42597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2CB84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7244F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FE5CD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9A82D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C55A9C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14FE16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A0FE00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763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DB30A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17</w:t>
            </w:r>
          </w:p>
        </w:tc>
        <w:tc>
          <w:tcPr>
            <w:tcW w:w="608" w:type="dxa"/>
            <w:noWrap w:val="0"/>
            <w:vAlign w:val="center"/>
          </w:tcPr>
          <w:p w14:paraId="7C425F6E">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未经批准、未取得或者未按照规定使用专用标识，或者未持有、未附有人工繁育许可证、批准文件的副本或者专用标识出售、购买、利用、运输、携带、寄递国家重点保护野生动物及其制品，未持有合法来源证明出售、利用、运输非国家重点保护野生动物等行为的处罚</w:t>
            </w:r>
          </w:p>
        </w:tc>
        <w:tc>
          <w:tcPr>
            <w:tcW w:w="607" w:type="dxa"/>
            <w:noWrap w:val="0"/>
            <w:vAlign w:val="center"/>
          </w:tcPr>
          <w:p w14:paraId="45F8B11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DFA8AA7">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0217145000</w:t>
            </w:r>
          </w:p>
        </w:tc>
        <w:tc>
          <w:tcPr>
            <w:tcW w:w="1538" w:type="dxa"/>
            <w:noWrap w:val="0"/>
            <w:vAlign w:val="top"/>
          </w:tcPr>
          <w:p w14:paraId="58B54468">
            <w:pPr>
              <w:autoSpaceDE w:val="0"/>
              <w:autoSpaceDN w:val="0"/>
              <w:adjustRightInd w:val="0"/>
              <w:spacing w:line="240" w:lineRule="exact"/>
              <w:ind w:firstLine="36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【法律】《中华人民共和国野生动物保护法》（2018年修正）</w:t>
            </w:r>
          </w:p>
          <w:p w14:paraId="13067971">
            <w:pPr>
              <w:autoSpaceDE w:val="0"/>
              <w:autoSpaceDN w:val="0"/>
              <w:adjustRightInd w:val="0"/>
              <w:spacing w:line="240" w:lineRule="exact"/>
              <w:ind w:firstLine="36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第四十八条第一款 违反本法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w:t>
            </w:r>
          </w:p>
          <w:p w14:paraId="4563AC84">
            <w:pPr>
              <w:autoSpaceDE w:val="0"/>
              <w:autoSpaceDN w:val="0"/>
              <w:adjustRightInd w:val="0"/>
              <w:spacing w:line="240" w:lineRule="exact"/>
              <w:ind w:firstLine="36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第二十七条第一款 禁止出售、购买、利用国家重点保护野生动物及其制品。</w:t>
            </w:r>
          </w:p>
          <w:p w14:paraId="5D44D13D">
            <w:pPr>
              <w:autoSpaceDE w:val="0"/>
              <w:autoSpaceDN w:val="0"/>
              <w:adjustRightInd w:val="0"/>
              <w:spacing w:line="240" w:lineRule="exact"/>
              <w:ind w:firstLine="36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第二款 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实行国家重点保护野生动物及其制品专用标识的范围和管理办法，由国务院野生动物保护主管部门规定。</w:t>
            </w:r>
          </w:p>
          <w:p w14:paraId="75974EB8">
            <w:pPr>
              <w:autoSpaceDE w:val="0"/>
              <w:autoSpaceDN w:val="0"/>
              <w:adjustRightInd w:val="0"/>
              <w:spacing w:line="240" w:lineRule="exact"/>
              <w:ind w:firstLine="36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第二十八条第一款 对人工繁育技术成熟稳定的国家重点保护野生动物，经科学论证，纳入国务院野生动物保护主管部门制定的人工繁育国家重点保护野生动物名录。对列入名录的野生动物及其制品，可以凭人工繁育许可证，按照省、自治区、直辖市人民政府野生动物保护主管部门核验的年度生产数量直接取得专用标识，凭专用标识出售和利用，保证可追溯。</w:t>
            </w:r>
          </w:p>
          <w:p w14:paraId="756C3C67">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第三十三条第一款 运输、携带、寄递国家重点保护野生动物及其制品、本法第二十八条第二款规定的野生动物及其制品出县境的，应当持有或者附有本法第二十一条、第二十五条、第二十七条或者第二十八条规定的许可证、批准文件的副本或者专用标识，以及检疫证明。</w:t>
            </w:r>
          </w:p>
        </w:tc>
        <w:tc>
          <w:tcPr>
            <w:tcW w:w="607" w:type="dxa"/>
            <w:noWrap w:val="0"/>
            <w:vAlign w:val="center"/>
          </w:tcPr>
          <w:p w14:paraId="474FC5FC">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对未经批准、未取得或者未按照规定使用专用标识，或者未持有、未附有人工繁育许可证、批准文件的副本或者专用标识出售、购买、利用、运输、携带、寄递国家重点保护野生动物及其制品行为的处罚</w:t>
            </w:r>
          </w:p>
        </w:tc>
        <w:tc>
          <w:tcPr>
            <w:tcW w:w="1899" w:type="dxa"/>
            <w:noWrap w:val="0"/>
            <w:vAlign w:val="center"/>
          </w:tcPr>
          <w:p w14:paraId="4AF608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25404C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049A7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54154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ACD00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102D5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62F1EE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7CBC08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EFA9B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DCB57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050E5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0AE0B81">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A94E7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92E6E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46DC8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B3C74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E79E2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11DC9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6832A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A9870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9877C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8A019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C337C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0E086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D8747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F2FDB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1A258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FE6A5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FDC0D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F1211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D5BFC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C53BB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233C9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75449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8634E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04353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08237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455D1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881E5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23AC08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17924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7D094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CB180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B53E8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AA45A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642CC68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33EE5B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4F540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F9D31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DBE83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7CE8A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5DFD70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9778E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99812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2EE44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99684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8CD138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3E8CC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EE9B3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516A4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EC3E8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69CBD0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4EC9B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74EF9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7A9DBF3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D2EB4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287CA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8FEB9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4A47B6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326F3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BEF23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AD5EE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54DBF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889AAF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56118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371096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432D5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95401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EE536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C45A3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2B67E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2CF71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E9F075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50AE0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002A35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419F4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8816A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CDFD6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FAF73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71073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147FF9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A668D4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C3AA79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B0F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89BCC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18</w:t>
            </w:r>
          </w:p>
        </w:tc>
        <w:tc>
          <w:tcPr>
            <w:tcW w:w="608" w:type="dxa"/>
            <w:noWrap w:val="0"/>
            <w:vAlign w:val="center"/>
          </w:tcPr>
          <w:p w14:paraId="546EBD39">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对未持有合法来源证明出售、利用、运输非国家重点保护野生动物行为的处罚</w:t>
            </w:r>
          </w:p>
        </w:tc>
        <w:tc>
          <w:tcPr>
            <w:tcW w:w="607" w:type="dxa"/>
            <w:noWrap w:val="0"/>
            <w:vAlign w:val="center"/>
          </w:tcPr>
          <w:p w14:paraId="6A9EF018">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F912C34">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0217146000</w:t>
            </w:r>
          </w:p>
        </w:tc>
        <w:tc>
          <w:tcPr>
            <w:tcW w:w="1538" w:type="dxa"/>
            <w:noWrap w:val="0"/>
            <w:vAlign w:val="top"/>
          </w:tcPr>
          <w:p w14:paraId="600C6185">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【法律】《中华人民共和国野生动物保护法》（2018年修正）</w:t>
            </w:r>
          </w:p>
          <w:p w14:paraId="30402469">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第四十八条第二款 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p w14:paraId="54FC4F73">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第二十七条第四款 出售、利用非国家重点保护野生动物的，应当提供狩猎、进出口等合法来源证明。</w:t>
            </w:r>
          </w:p>
          <w:p w14:paraId="7949A0A5">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第三十三条第二款 运输非国家重点保护野生动物出县境的，应当持有狩猎、进出口等合法来源证明，以及检疫证明。</w:t>
            </w:r>
          </w:p>
        </w:tc>
        <w:tc>
          <w:tcPr>
            <w:tcW w:w="607" w:type="dxa"/>
            <w:noWrap w:val="0"/>
            <w:vAlign w:val="center"/>
          </w:tcPr>
          <w:p w14:paraId="38EFCCBB">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对未持有合法来源证明出售、利用、运输非国家重点保护野生动物行为的处罚</w:t>
            </w:r>
          </w:p>
        </w:tc>
        <w:tc>
          <w:tcPr>
            <w:tcW w:w="1899" w:type="dxa"/>
            <w:noWrap w:val="0"/>
            <w:vAlign w:val="center"/>
          </w:tcPr>
          <w:p w14:paraId="7C7A48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2DF3B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35C62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4C81CA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285A2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381D7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0F2EBA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177C11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B4B75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B3F3F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BDA9B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60021BA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000D2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722F3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F1F4B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781D0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976F1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2215D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06D71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03AA8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CA6A8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FDB87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A3A0F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3E69B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6294F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230F4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13591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A410E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05F96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517A7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14136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5F977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ECFE8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27B65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DA355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DD35A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212DD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3D9A0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42909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CFDFF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B9161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C4FFD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23199F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9B942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A8FD3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54AF809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15524A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9CF31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9EF10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50BE7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9EDE8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8C12E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FC41E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77223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0F105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08564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4C9EEF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4794C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52744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8A3CF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0D0CD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1F34E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456B0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D4F41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C1EBC2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42E6F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0D55A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F9695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FACD2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248A8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DDF4E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B40C3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A9782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C1CF30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B3297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24B205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E28A2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C0CAE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ABD7E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62A25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CD480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46648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5CFD21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3354C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7AC33E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FBD6A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35342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75D33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D51C1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13C7D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FD6C45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E35902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E4E098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97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68725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19</w:t>
            </w:r>
          </w:p>
        </w:tc>
        <w:tc>
          <w:tcPr>
            <w:tcW w:w="608" w:type="dxa"/>
            <w:noWrap w:val="0"/>
            <w:vAlign w:val="center"/>
          </w:tcPr>
          <w:p w14:paraId="082D4643">
            <w:pPr>
              <w:adjustRightInd w:val="0"/>
              <w:snapToGrid w:val="0"/>
              <w:spacing w:line="240" w:lineRule="atLeas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对生产、经营使用国家重点保护野生动物及其制品或者没有合法来源证明的非国家重点保护野生动物及其制品制作食品，或者为食用非法购买国家重点保护的野生动物及其制品的处罚</w:t>
            </w:r>
          </w:p>
        </w:tc>
        <w:tc>
          <w:tcPr>
            <w:tcW w:w="607" w:type="dxa"/>
            <w:noWrap w:val="0"/>
            <w:vAlign w:val="center"/>
          </w:tcPr>
          <w:p w14:paraId="07F06156">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41E6FF43">
            <w:pPr>
              <w:adjustRightInd w:val="0"/>
              <w:snapToGrid w:val="0"/>
              <w:spacing w:line="240" w:lineRule="atLeast"/>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0217148000</w:t>
            </w:r>
          </w:p>
        </w:tc>
        <w:tc>
          <w:tcPr>
            <w:tcW w:w="1538" w:type="dxa"/>
            <w:noWrap w:val="0"/>
            <w:vAlign w:val="top"/>
          </w:tcPr>
          <w:p w14:paraId="76EB5AAC">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【法律】《中华人民共和国野生动物保护法》（2018年修正）</w:t>
            </w:r>
          </w:p>
          <w:p w14:paraId="0DCBDC80">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第四十九条 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p w14:paraId="51C91973">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第三十条 禁止生产、经营使用国家重点保护野生动物及其制品制作的食品，或者使用没有合法来源证明的非国家重点保护野生动物及其制品制作的食品。</w:t>
            </w:r>
          </w:p>
          <w:p w14:paraId="0295CD20">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禁止为食用非法购买国家重点保护的野生动物及其制品。</w:t>
            </w:r>
          </w:p>
        </w:tc>
        <w:tc>
          <w:tcPr>
            <w:tcW w:w="607" w:type="dxa"/>
            <w:noWrap w:val="0"/>
            <w:vAlign w:val="center"/>
          </w:tcPr>
          <w:p w14:paraId="32C59DA7">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对生产、经营使用国家重点保护野生动物及其制品或者没有合法来源证明的非国家重点保护野生动物及其制品制作食品，或者为食用非法购买国家重点保护的野生动物及其制品等行为的处罚</w:t>
            </w:r>
          </w:p>
        </w:tc>
        <w:tc>
          <w:tcPr>
            <w:tcW w:w="1899" w:type="dxa"/>
            <w:noWrap w:val="0"/>
            <w:vAlign w:val="center"/>
          </w:tcPr>
          <w:p w14:paraId="1D1D3F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9D3A1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201C6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4AD8E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88750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8F5BD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2C96BC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74479AE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5C77E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C8A3D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6E0D9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F094B06">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99100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2C05D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57F87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A531E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EE6B4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385879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EA10B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F2E2B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B45AE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653C0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7F1D2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9CA7D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71C99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0DCA48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3E577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31E9F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18D91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07CFC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B0BAD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517F17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078C9E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65677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8F329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C74FD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768F4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D735B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E55E0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6B80B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B6F5A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871B8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F8A45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0927B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553712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F30CF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8CBBF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B8D42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403CF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6090C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A0A24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A9D1B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FA1FC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670C7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A6FF1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97EA7A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EE810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613F6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2E2A2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D6854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6741C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24706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DCF53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14FCB4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8DDBE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0CE17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62F1D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070F9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19025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2C186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0D7B6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D6FAB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54139A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2268F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F715AC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47B59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831E0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10AE5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6DC57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FB46A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09669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0E276C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0777D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8246B1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87744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7688D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B4C42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9E588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E9A05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2E2B99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C15998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5619C1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6DB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D6DA0A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20</w:t>
            </w:r>
          </w:p>
        </w:tc>
        <w:tc>
          <w:tcPr>
            <w:tcW w:w="608" w:type="dxa"/>
            <w:noWrap w:val="0"/>
            <w:vAlign w:val="center"/>
          </w:tcPr>
          <w:p w14:paraId="25CB4A46">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对未经批准从境外引进野生动物物种行为的处罚</w:t>
            </w:r>
          </w:p>
        </w:tc>
        <w:tc>
          <w:tcPr>
            <w:tcW w:w="607" w:type="dxa"/>
            <w:noWrap w:val="0"/>
            <w:vAlign w:val="center"/>
          </w:tcPr>
          <w:p w14:paraId="1E5F3B4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41B905BF">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0217149000</w:t>
            </w:r>
          </w:p>
        </w:tc>
        <w:tc>
          <w:tcPr>
            <w:tcW w:w="1538" w:type="dxa"/>
            <w:noWrap w:val="0"/>
            <w:vAlign w:val="top"/>
          </w:tcPr>
          <w:p w14:paraId="1FAD8F6B">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【法律】《中华人民共和国野生动物保护法》（2018年修正）</w:t>
            </w:r>
          </w:p>
          <w:p w14:paraId="11BE7589">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第五十三条 违反本法第三十七条第一款规定，从境外引进野生动物物种的，由县级以上人民政府野生动物保护主管部门没收所引进的野生动物，并处五万元以上二十五万元以下的罚款；未依法实施进境检疫的，依照《中华人民共和国进出境动植物检疫法》的规定处罚；构成犯罪的，依法追究刑事责任。</w:t>
            </w:r>
          </w:p>
          <w:p w14:paraId="4C5B68F1">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第三十七条第一款 从境外引进野生动物物种的，应当经国务院野生动物保护主管部门批准。从境外引进列入本法第三十五条第一款名录的野生动物，还应当依法取得允许进出口证明书。依法实施进境检疫。海关凭进口批准文件或者允许进出口证明书以及检疫证明按照规定办理通关手续。</w:t>
            </w:r>
          </w:p>
        </w:tc>
        <w:tc>
          <w:tcPr>
            <w:tcW w:w="607" w:type="dxa"/>
            <w:noWrap w:val="0"/>
            <w:vAlign w:val="center"/>
          </w:tcPr>
          <w:p w14:paraId="030D97AF">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对未经批准从境外引进野生动物物种行为的处罚</w:t>
            </w:r>
          </w:p>
        </w:tc>
        <w:tc>
          <w:tcPr>
            <w:tcW w:w="1899" w:type="dxa"/>
            <w:noWrap w:val="0"/>
            <w:vAlign w:val="center"/>
          </w:tcPr>
          <w:p w14:paraId="1236D5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C9888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A9483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281E2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E11D6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EFA33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3B6D4A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636490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75795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8E6F9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D3AB1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6081EF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BBC8C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62B1B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0C60E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FFF49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84548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4C6DD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19978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C161E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B7DEB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71993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183CA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99689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774BD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6B9C2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DE0FD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F8595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BBE05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C615D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B0955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E7CD3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9CE62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BD34B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60E63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A8191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367DE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1DCB0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0EC7B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FCAA8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1BB3A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35C61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FD862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56E9D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FED8C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5F483E5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633316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DA78A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88977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2B359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725B4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7D32E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870BC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BA147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57FBB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B3B7D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4209AA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54487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B9499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CC77B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34B6C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FB48B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445D8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CF3AE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814F63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AE970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5FC99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1D8D7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19BE2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8667D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18E30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A26B0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CA6E2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735978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1C17F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9CA56E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EB723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A9BD8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A8E94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93C4F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8126B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5C956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93410D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9F02C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90B563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D31FE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373D8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E5A45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00B10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B73AB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EC7992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187C60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A8A84A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32C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235ACA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21</w:t>
            </w:r>
          </w:p>
        </w:tc>
        <w:tc>
          <w:tcPr>
            <w:tcW w:w="608" w:type="dxa"/>
            <w:noWrap w:val="0"/>
            <w:vAlign w:val="center"/>
          </w:tcPr>
          <w:p w14:paraId="79F3B06B">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对伪造、变造、买卖、转让、租借有关证件、专用标识或者有关批准文件等行为的处罚</w:t>
            </w:r>
          </w:p>
        </w:tc>
        <w:tc>
          <w:tcPr>
            <w:tcW w:w="607" w:type="dxa"/>
            <w:noWrap w:val="0"/>
            <w:vAlign w:val="center"/>
          </w:tcPr>
          <w:p w14:paraId="46EAD2EE">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8960D59">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0217151000</w:t>
            </w:r>
          </w:p>
        </w:tc>
        <w:tc>
          <w:tcPr>
            <w:tcW w:w="1538" w:type="dxa"/>
            <w:noWrap w:val="0"/>
            <w:vAlign w:val="top"/>
          </w:tcPr>
          <w:p w14:paraId="740BB12D">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年修正）</w:t>
            </w:r>
          </w:p>
          <w:p w14:paraId="1FAA64F5">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第三十九条第一款 禁止伪造、变造、买卖、转让、租借特许猎捕证、狩猎证、人工繁育许可证及专用标识，出售、购买、利用国家重点保护野生动物及其制品的批准文件，或者允许进出口证明书、进出口等批准文件。</w:t>
            </w:r>
          </w:p>
          <w:p w14:paraId="3B07BC0F">
            <w:pPr>
              <w:autoSpaceDE w:val="0"/>
              <w:autoSpaceDN w:val="0"/>
              <w:adjustRightInd w:val="0"/>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第五十五条 违反本法第三十九条第一款规定，伪造、变造、买卖、转让、租借有关证件、专用标识或者有关批准文件的，由县级以上人民政府野生动物保护主管部门没收违法证件、专用标识、有关批准文件和违法所得，并处五万元以上二十五万元以下的罚款；构成违反治安管理行为的，由公安机关依法给予治安管理处罚；构成犯罪的，依法追究刑事责任。</w:t>
            </w:r>
          </w:p>
          <w:p w14:paraId="29C95D54">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p>
        </w:tc>
        <w:tc>
          <w:tcPr>
            <w:tcW w:w="607" w:type="dxa"/>
            <w:noWrap w:val="0"/>
            <w:vAlign w:val="center"/>
          </w:tcPr>
          <w:p w14:paraId="559C0A14">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对伪造、变造、买卖、转让、租借有关证件、专用标识或者有关批准文件等行为的处罚</w:t>
            </w:r>
          </w:p>
        </w:tc>
        <w:tc>
          <w:tcPr>
            <w:tcW w:w="1899" w:type="dxa"/>
            <w:noWrap w:val="0"/>
            <w:vAlign w:val="center"/>
          </w:tcPr>
          <w:p w14:paraId="13B7B4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896C4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5E0CC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4E91E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BAAAF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34C20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05BFC3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6ECF8E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AD438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9B83C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A0AE3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3BA01C61">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99723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236BF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EB346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6E5D9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7AED68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2EB39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2F6AE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EFD07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27FD2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8B9A0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3C789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D4BC2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16C75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FE54C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38F59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E4478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9D797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002ED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F6370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0777C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77899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88EE8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92BDB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05D6EA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FFA2C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1AB44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2EA12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48495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230FE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E48F2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2C49F9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F9C85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A8B69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46CEA90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120ED4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58914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045BA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480CB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DB487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DCA2D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37E0A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21652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E91DA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C376A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4D9533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A1A82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45789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3EA69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8DEED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E9FF9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09E01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D3C85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9589B4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89AE4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25046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D361D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40B943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61691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A6E8C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F70AE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D9384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0971C4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8BA9B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25B24CA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64D8DD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C900E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BF969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DD068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D2A81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F7702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0ABB82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2BEB9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C3B70B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DA13A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FB9D8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942D6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91174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98CF0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39416E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9CACA8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E6E42D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5DC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B5E158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22</w:t>
            </w:r>
          </w:p>
        </w:tc>
        <w:tc>
          <w:tcPr>
            <w:tcW w:w="608" w:type="dxa"/>
            <w:noWrap w:val="0"/>
            <w:vAlign w:val="center"/>
          </w:tcPr>
          <w:p w14:paraId="4D3AFA93">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未取得采集证或者违规采集国家重点保护野生植物的处罚</w:t>
            </w:r>
          </w:p>
        </w:tc>
        <w:tc>
          <w:tcPr>
            <w:tcW w:w="607" w:type="dxa"/>
            <w:noWrap w:val="0"/>
            <w:vAlign w:val="center"/>
          </w:tcPr>
          <w:p w14:paraId="30D0229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697682C">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0217162000</w:t>
            </w:r>
          </w:p>
        </w:tc>
        <w:tc>
          <w:tcPr>
            <w:tcW w:w="1538" w:type="dxa"/>
            <w:noWrap w:val="0"/>
            <w:vAlign w:val="center"/>
          </w:tcPr>
          <w:p w14:paraId="4A6EEECD">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【行政法规】《中华人民共和国野生植物保护条例》（2017年国务院令第687号修正）</w:t>
            </w:r>
          </w:p>
          <w:p w14:paraId="57B70EE6">
            <w:pPr>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第二十三条 未取得采集证或者未按照采集证的规定采集国家重点保护野生植物的，由野生植物行政主管部门没收所采集的野生植物和违法所得，可以并处违法所得1０倍以下的罚款；有采集证的，并可以吊销采集证。</w:t>
            </w:r>
          </w:p>
        </w:tc>
        <w:tc>
          <w:tcPr>
            <w:tcW w:w="607" w:type="dxa"/>
            <w:noWrap w:val="0"/>
            <w:vAlign w:val="center"/>
          </w:tcPr>
          <w:p w14:paraId="42AFEE21">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未取得采集证或者违规采集国家重点保护野生植物的处罚</w:t>
            </w:r>
          </w:p>
        </w:tc>
        <w:tc>
          <w:tcPr>
            <w:tcW w:w="1899" w:type="dxa"/>
            <w:noWrap w:val="0"/>
            <w:vAlign w:val="center"/>
          </w:tcPr>
          <w:p w14:paraId="58047E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9BC32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FAD35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C45AE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C5D2D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126C4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AEFF44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23DBA3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0C7BE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52C7D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3780C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6D3896A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A2D6B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9C2AB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47104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CE9FC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08B83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3D18F9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BBCC8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58C95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F84BC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13649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7FA83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458A6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5AD0B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280C6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F5B5D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74525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AEF80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D9D3D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B899C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01CC8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083FD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622422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6B12C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8789C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F5D66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79F32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2BAD7F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74635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0D8AA6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38274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9C400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4DACF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527E46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758755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1CDE5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DC19A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98B6E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A99AB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74730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73800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5EF9C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44008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8D0E4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7B57C0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61663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C3F64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5C5A8A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6D1AF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C6E05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2777B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D5AB9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8EAEB2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4C392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EAD7D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2E175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EB3DD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189D9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BE9D7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B210E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5697D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773BD1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4E284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9681FF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230510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862A9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4B27D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E092D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D9852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EB2EC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B14E4F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AE53A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60421A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BB6FE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7C0D3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445C3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9ABBD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6ADB4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1461D8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6BB2F8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F7A012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322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45AD83D">
            <w:pPr>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lang w:val="en-US" w:eastAsia="zh-CN"/>
              </w:rPr>
              <w:t>23</w:t>
            </w:r>
          </w:p>
        </w:tc>
        <w:tc>
          <w:tcPr>
            <w:tcW w:w="608" w:type="dxa"/>
            <w:noWrap w:val="0"/>
            <w:vAlign w:val="center"/>
          </w:tcPr>
          <w:p w14:paraId="1B4E4B1D">
            <w:pPr>
              <w:snapToGrid w:val="0"/>
              <w:spacing w:line="200" w:lineRule="exact"/>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品种测试、试验和种子质量检验机构伪造测试、试验、检验数据或者出具虚假证明的处罚</w:t>
            </w:r>
          </w:p>
        </w:tc>
        <w:tc>
          <w:tcPr>
            <w:tcW w:w="607" w:type="dxa"/>
            <w:noWrap w:val="0"/>
            <w:vAlign w:val="center"/>
          </w:tcPr>
          <w:p w14:paraId="00F77A0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C1DA427">
            <w:pPr>
              <w:snapToGrid w:val="0"/>
              <w:spacing w:line="200" w:lineRule="exact"/>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0217204000</w:t>
            </w:r>
          </w:p>
        </w:tc>
        <w:tc>
          <w:tcPr>
            <w:tcW w:w="1538" w:type="dxa"/>
            <w:noWrap w:val="0"/>
            <w:vAlign w:val="center"/>
          </w:tcPr>
          <w:p w14:paraId="6EAF307B">
            <w:pPr>
              <w:snapToGrid w:val="0"/>
              <w:spacing w:line="200" w:lineRule="exact"/>
              <w:ind w:firstLine="379" w:firstLineChars="211"/>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【法律】《中华人民共和国种子法》(</w:t>
            </w:r>
            <w:r>
              <w:rPr>
                <w:rFonts w:hint="eastAsia" w:ascii="仿宋_GB2312" w:hAnsi="仿宋_GB2312" w:eastAsia="仿宋_GB2312" w:cs="仿宋_GB2312"/>
                <w:bCs/>
                <w:color w:val="auto"/>
                <w:kern w:val="0"/>
                <w:sz w:val="18"/>
                <w:szCs w:val="18"/>
                <w:highlight w:val="none"/>
                <w:lang w:eastAsia="zh-CN"/>
              </w:rPr>
              <w:t>2021年修订</w:t>
            </w:r>
            <w:r>
              <w:rPr>
                <w:rFonts w:hint="eastAsia" w:ascii="仿宋_GB2312" w:hAnsi="仿宋_GB2312" w:eastAsia="仿宋_GB2312" w:cs="仿宋_GB2312"/>
                <w:color w:val="auto"/>
                <w:sz w:val="18"/>
                <w:szCs w:val="18"/>
                <w:highlight w:val="none"/>
              </w:rPr>
              <w:t>)</w:t>
            </w:r>
          </w:p>
          <w:p w14:paraId="374DE973">
            <w:pPr>
              <w:snapToGrid w:val="0"/>
              <w:spacing w:line="200" w:lineRule="exact"/>
              <w:ind w:firstLine="379" w:firstLineChars="211"/>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第七十二条 品种测试、试验和种子质量检验机构伪造测试、试验、检验数据或者出具虚假证明的，由县级以上人民政府农业、林业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由省级以上人民政府有关主管部门取消种子质量检验资格。</w:t>
            </w:r>
          </w:p>
        </w:tc>
        <w:tc>
          <w:tcPr>
            <w:tcW w:w="607" w:type="dxa"/>
            <w:noWrap w:val="0"/>
            <w:vAlign w:val="center"/>
          </w:tcPr>
          <w:p w14:paraId="43098D61">
            <w:pPr>
              <w:snapToGrid w:val="0"/>
              <w:jc w:val="left"/>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品种测试、试验和种子质量检验机构伪造测试、试验、检验数据或者出具虚假证明的处罚</w:t>
            </w:r>
          </w:p>
        </w:tc>
        <w:tc>
          <w:tcPr>
            <w:tcW w:w="1899" w:type="dxa"/>
            <w:noWrap w:val="0"/>
            <w:vAlign w:val="center"/>
          </w:tcPr>
          <w:p w14:paraId="67DC87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066E9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5B0CE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F7652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6118E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4F81B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DFEBE4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490D34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95448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DD51D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2254C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62C1D0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2728D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2AC95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24297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1434F5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97944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49853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70371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13A89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2217E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2D54F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B38AE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01D9B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BEE2F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9B9AE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27748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E307E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34E5C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154E7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3E71B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61D9C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07136D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4373B9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9B65E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827EB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69825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0A5CB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5E2ECD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30E90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1EA60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8A322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2457A5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3EB9E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3F68E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6A4C1C4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1026" w:type="dxa"/>
            <w:noWrap w:val="0"/>
            <w:vAlign w:val="center"/>
          </w:tcPr>
          <w:p w14:paraId="042D7A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EC686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9ECF8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058BF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F1C8C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F53B2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7AB83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C9144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71B6B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F069F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4656F89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F5DD4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3B075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FD020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92F9C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01931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869F6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0AEC5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9324BE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CA175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24902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0AAC0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F2B84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B3DA9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53AAC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08D89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E1B55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2CD260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5E392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78C0EF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E5CEA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AB68F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FCCC4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DD124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42566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62E1A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DF3990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5D61D3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B802E5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66990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703DB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D5D0E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E6F21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4C8D1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2CF4D78">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30940C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CD1685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9F9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22E644D">
            <w:pPr>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lang w:val="en-US" w:eastAsia="zh-CN"/>
              </w:rPr>
              <w:t>24</w:t>
            </w:r>
          </w:p>
        </w:tc>
        <w:tc>
          <w:tcPr>
            <w:tcW w:w="608" w:type="dxa"/>
            <w:noWrap w:val="0"/>
            <w:vAlign w:val="center"/>
          </w:tcPr>
          <w:p w14:paraId="34F9785A">
            <w:pPr>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对假冒植物新品种授权品种的处罚（货值金额5万元以上的）</w:t>
            </w:r>
          </w:p>
        </w:tc>
        <w:tc>
          <w:tcPr>
            <w:tcW w:w="607" w:type="dxa"/>
            <w:noWrap w:val="0"/>
            <w:vAlign w:val="center"/>
          </w:tcPr>
          <w:p w14:paraId="2CD9C72E">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733E31B">
            <w:pPr>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0217214000</w:t>
            </w:r>
          </w:p>
        </w:tc>
        <w:tc>
          <w:tcPr>
            <w:tcW w:w="1538" w:type="dxa"/>
            <w:noWrap w:val="0"/>
            <w:vAlign w:val="center"/>
          </w:tcPr>
          <w:p w14:paraId="41719A94">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【行政法规】《中华人民共和国植物新品种保护条例》（2014年国务院令第653号修正）</w:t>
            </w:r>
          </w:p>
          <w:p w14:paraId="14E17AC3">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第四十条  假冒授权品种的，由县级以上人民政府农业、林业行政部门依据各自的职权责令停止假冒行为，没收违法所得和植物品种繁殖材料；货值金额5万元以上的，处货值金额1倍以上5倍以下的罚款；没有货值金额或者货值金额5万元以下的，根据情节轻重，处25万元以下的罚款；情节严重，构成犯罪的，依法追究刑事责任。</w:t>
            </w:r>
          </w:p>
        </w:tc>
        <w:tc>
          <w:tcPr>
            <w:tcW w:w="607" w:type="dxa"/>
            <w:noWrap w:val="0"/>
            <w:vAlign w:val="center"/>
          </w:tcPr>
          <w:p w14:paraId="555D097D">
            <w:pPr>
              <w:adjustRightInd w:val="0"/>
              <w:snapToGrid w:val="0"/>
              <w:jc w:val="left"/>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对假冒植物新品种授权品种的处罚（货值金额5万元以上的</w:t>
            </w:r>
          </w:p>
        </w:tc>
        <w:tc>
          <w:tcPr>
            <w:tcW w:w="1899" w:type="dxa"/>
            <w:noWrap w:val="0"/>
            <w:vAlign w:val="center"/>
          </w:tcPr>
          <w:p w14:paraId="442A99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98C78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8F0D8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75BFE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3C0FD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E619D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5ED5FA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317DBC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99B06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017E6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88C01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FE2F1D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0FE4A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1364A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85B9C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57041F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7B6B8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F14F8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3C02DC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8E998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6AFF2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572F0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3DD51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937D6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61A95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F76D5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DC667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7FBE5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20DEC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94DBF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693B3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52982B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D399F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94CA3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06E41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A42A1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3279A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6BAD3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C1C46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111A6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3FF2DB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78958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864DB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08586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7D9C5B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92E23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AD29B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81E3D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CB004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9D06C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F0C4D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CB95D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1B23A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A1230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34CBA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48699AB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05331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62E62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5DE94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814A6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16147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76472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6D697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E1B1C0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0FD2C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2A6D5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43E8E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9CA27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6B54B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4F432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6102D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38DB2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90BC6B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24653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AE43F1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86A47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C7609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19F5B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6B082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81C01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0D553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13C19C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CF7DA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D6A088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31E27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64FAF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CB75A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C78B0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C7BB7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9D264B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00A76A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95D18A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C6C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41E6EAC">
            <w:pPr>
              <w:pStyle w:val="2"/>
              <w:ind w:firstLine="420" w:firstLineChars="200"/>
              <w:rPr>
                <w:rFonts w:hint="default" w:ascii="Calibri" w:hAnsi="Calibri" w:eastAsia="宋体" w:cs="Times New Roman"/>
                <w:color w:val="auto"/>
                <w:kern w:val="2"/>
                <w:sz w:val="21"/>
                <w:szCs w:val="24"/>
                <w:highlight w:val="none"/>
                <w:lang w:val="en-US" w:eastAsia="zh-CN" w:bidi="ar-SA"/>
              </w:rPr>
            </w:pPr>
            <w:r>
              <w:rPr>
                <w:rFonts w:hint="eastAsia"/>
                <w:color w:val="auto"/>
                <w:highlight w:val="none"/>
                <w:lang w:val="en-US" w:eastAsia="zh-CN"/>
              </w:rPr>
              <w:t>225</w:t>
            </w:r>
          </w:p>
        </w:tc>
        <w:tc>
          <w:tcPr>
            <w:tcW w:w="608" w:type="dxa"/>
            <w:noWrap w:val="0"/>
            <w:vAlign w:val="center"/>
          </w:tcPr>
          <w:p w14:paraId="5341AA12">
            <w:pPr>
              <w:widowControl/>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未经批准进入自然保护区或者在自然保护区内不服从管理擅自移动、破坏自然保护区界标或者经批准在自然保护区的缓冲区内从事科学研究等不向自然保护区管理机构提交活动成果副本的处罚</w:t>
            </w:r>
          </w:p>
        </w:tc>
        <w:tc>
          <w:tcPr>
            <w:tcW w:w="607" w:type="dxa"/>
            <w:noWrap w:val="0"/>
            <w:vAlign w:val="center"/>
          </w:tcPr>
          <w:p w14:paraId="7E5B3DAD">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415A04A8">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0222001000</w:t>
            </w:r>
          </w:p>
          <w:p w14:paraId="68D3CE6C">
            <w:pPr>
              <w:widowControl/>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538" w:type="dxa"/>
            <w:noWrap w:val="0"/>
            <w:vAlign w:val="center"/>
          </w:tcPr>
          <w:p w14:paraId="42A0E12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【行政法规】《中华人民共和国自然保护区条例》（2017年国务院令第687号修订）</w:t>
            </w:r>
          </w:p>
          <w:p w14:paraId="2E70AE07">
            <w:pPr>
              <w:adjustRightInd w:val="0"/>
              <w:snapToGrid w:val="0"/>
              <w:ind w:firstLine="345" w:firstLineChars="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第三十四条 违反本条例规定，有下列行为之一的单位和个人，由自然保护区管理机构责令其改正，并可以根据不同情节处以100元以上5000元以下的罚款：（一）擅自移动或者破坏自然保护区界标的；（二）未经批准进入自然保护区或者在自然保护区内不服从管理机构管理的；（三）经批准在自然保护区的缓冲区内从事科学研究、教学实习和标本采集的单位和个人，不向自然保护区管理机构提交活动成果副本的。</w:t>
            </w:r>
          </w:p>
        </w:tc>
        <w:tc>
          <w:tcPr>
            <w:tcW w:w="607" w:type="dxa"/>
            <w:noWrap w:val="0"/>
            <w:vAlign w:val="center"/>
          </w:tcPr>
          <w:p w14:paraId="415B3B29">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未经批准进入自然保护区或者在自然保护区内不服从管理擅自移动、破坏自然保护区界标或者经批准在自然保护区的缓冲区内从事科学研究等不向自然保护区管理机构提交活动成果副本的处罚</w:t>
            </w:r>
          </w:p>
        </w:tc>
        <w:tc>
          <w:tcPr>
            <w:tcW w:w="1899" w:type="dxa"/>
            <w:noWrap w:val="0"/>
            <w:vAlign w:val="center"/>
          </w:tcPr>
          <w:p w14:paraId="0DCA2C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9CFE0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B6AE2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E3E9C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FFB05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BCC77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AFE945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52ABDE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A53C6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8D178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15612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9EBCB4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5B0E8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24EF3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9B9F9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B48B7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E8E4D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58213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7F0B8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36E6E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4A2C5C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EB40A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872E3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F4F1B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43DF9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66A00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E6676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37432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895F3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A8A4A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61EA73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CD4DB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4E93C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CAB55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ABA10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9EAB0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89BBF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C1623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893C7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58D7D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08B4A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F967B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23E72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813D9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2FE576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433361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D21FE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F9AA4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16AA1D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2C47B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0316F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598B8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87C55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52206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577998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DD627D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110B4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59802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F81DB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645BA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8D39D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56B8D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F15EB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762C0521">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F3647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08AC61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812FF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A1C93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AA18A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48DC8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AA74F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FCA71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A528ED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B86EA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B377BC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4538C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98917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17460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010A9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21044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DCB58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557464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29C17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6E042A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83DA1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C2A2F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A3B7B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FFA1C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7CF2E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6268AC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4C375A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054328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27E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7AD68D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26</w:t>
            </w:r>
          </w:p>
        </w:tc>
        <w:tc>
          <w:tcPr>
            <w:tcW w:w="608" w:type="dxa"/>
            <w:noWrap w:val="0"/>
            <w:vAlign w:val="center"/>
          </w:tcPr>
          <w:p w14:paraId="6B1406D1">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在自然保护区内进行砍伐、放牧、狩猎、捕捞、采药、开垦、烧荒、开矿、采石、挖沙等活动的处罚</w:t>
            </w:r>
          </w:p>
          <w:p w14:paraId="6A88544C">
            <w:pPr>
              <w:rPr>
                <w:rFonts w:hint="eastAsia" w:ascii="仿宋_GB2312" w:hAnsi="仿宋_GB2312" w:eastAsia="仿宋_GB2312" w:cs="仿宋_GB2312"/>
                <w:color w:val="auto"/>
                <w:kern w:val="2"/>
                <w:sz w:val="18"/>
                <w:szCs w:val="18"/>
                <w:highlight w:val="none"/>
                <w:lang w:val="en-US" w:eastAsia="zh-CN" w:bidi="ar-SA"/>
              </w:rPr>
            </w:pPr>
          </w:p>
        </w:tc>
        <w:tc>
          <w:tcPr>
            <w:tcW w:w="607" w:type="dxa"/>
            <w:noWrap w:val="0"/>
            <w:vAlign w:val="center"/>
          </w:tcPr>
          <w:p w14:paraId="6D7A1A8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28AEB8E">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0222002000</w:t>
            </w:r>
          </w:p>
        </w:tc>
        <w:tc>
          <w:tcPr>
            <w:tcW w:w="1538" w:type="dxa"/>
            <w:noWrap w:val="0"/>
            <w:vAlign w:val="top"/>
          </w:tcPr>
          <w:p w14:paraId="1F83ABC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【行政法规】《中华人民共和国自然保护区条例》（2017年国务院令第687号修订）</w:t>
            </w:r>
          </w:p>
          <w:p w14:paraId="1674F32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第三十五条 违反本条例规定，在自然保护区进行砍伐、放牧、狩猎、捕捞、采药、开垦、烧荒、开矿、采石、挖沙等活动的单位和个人，除可以依照有关法律、行政法规规定给予处罚的以外，由县级以上人民政府有关自然保护区行政主管部门或者其授权的自然保护区管理机构没收违法所得，责令停止违法行为，限期恢复原状或者采取其他补救措施；对自然保护区造成破坏的，可以处以300元以上1万元以下的罚款。</w:t>
            </w:r>
          </w:p>
          <w:p w14:paraId="7FFDEBA5">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【地方性法规】《宁夏回族自治区六盘山、贺兰山、罗山国家级自然保护区条例》（2017年修改）</w:t>
            </w:r>
          </w:p>
          <w:p w14:paraId="5968F8B6">
            <w:pPr>
              <w:widowControl/>
              <w:numPr>
                <w:ilvl w:val="0"/>
                <w:numId w:val="3"/>
              </w:numPr>
              <w:adjustRightInd w:val="0"/>
              <w:snapToGrid w:val="0"/>
              <w:ind w:left="360" w:leftChars="0" w:firstLine="0" w:firstLineChars="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xml:space="preserve"> 违反本条例规定，在自然保护区内进行砍伐、放牧、狩猎、捕捞、采药、开垦、烧荒、开矿、采石、挖沙等活动的，由自治区人民政府林业行政主管部门或者其授权的自然保护区管理机构责令停止违法行为，没收违法所得，限期恢复原状或者采取有效补救措施；对自然保护区造成破坏的，可以处以三百元以上一万元以下的罚款。</w:t>
            </w:r>
          </w:p>
        </w:tc>
        <w:tc>
          <w:tcPr>
            <w:tcW w:w="607" w:type="dxa"/>
            <w:noWrap w:val="0"/>
            <w:vAlign w:val="center"/>
          </w:tcPr>
          <w:p w14:paraId="784B04A6">
            <w:pPr>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在自然保护区内进行砍伐、放牧、狩猎、捕捞、采药、开垦、烧荒、开矿、采石、挖沙等活动的处罚</w:t>
            </w:r>
          </w:p>
          <w:p w14:paraId="2296EAA6">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1899" w:type="dxa"/>
            <w:noWrap w:val="0"/>
            <w:vAlign w:val="center"/>
          </w:tcPr>
          <w:p w14:paraId="2C22EA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ACE33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757AB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816E2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816C8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9CA7B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A60F43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1AF6867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75467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FDB74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113D8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E528576">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5E6E4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679FE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6D19A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6F3BE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044D9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83929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6D683F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E6D0D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D9FDB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86610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6EE227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23A6F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61D3A8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70EEB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956A0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E4BF2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4620F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9F5B0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A2B6F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3786B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42192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0A572C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075CA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C5A03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B1481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18549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1D371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61973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785F3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1F30C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02575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3B600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B9D49A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B045B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2CBCC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A608E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33342A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2DAD9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F92A0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17216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A54F4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F92F8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ABDCB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271CDE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D4012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F42C8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B01B0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CA23F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DEE1A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706FA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F9B00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1E8E74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67B39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0BAAB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3AD2B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5B413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B15ED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1842B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1BA77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114E8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59C886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44BB4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7E0D28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334DF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4B2AC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56CFF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DBB85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144F4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E4D4F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90F8B9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E7C93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7A1E6F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64DEB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C3CAC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A6062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7F58C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BF076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A85849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6FD744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CB289F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077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7B13E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27</w:t>
            </w:r>
          </w:p>
        </w:tc>
        <w:tc>
          <w:tcPr>
            <w:tcW w:w="608" w:type="dxa"/>
            <w:noWrap w:val="0"/>
            <w:vAlign w:val="center"/>
          </w:tcPr>
          <w:p w14:paraId="6A420BB3">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拒绝有关自然保护区行政主管部门监督检查，或者在被检查时弄虚作假行为的处罚</w:t>
            </w:r>
          </w:p>
        </w:tc>
        <w:tc>
          <w:tcPr>
            <w:tcW w:w="607" w:type="dxa"/>
            <w:noWrap w:val="0"/>
            <w:vAlign w:val="center"/>
          </w:tcPr>
          <w:p w14:paraId="733EF43C">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A3D08CF">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0222003000</w:t>
            </w:r>
          </w:p>
        </w:tc>
        <w:tc>
          <w:tcPr>
            <w:tcW w:w="1538" w:type="dxa"/>
            <w:noWrap w:val="0"/>
            <w:vAlign w:val="top"/>
          </w:tcPr>
          <w:p w14:paraId="6E116AB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 《中华人民共和国自然保护区条例》（2017年国务院令第687号修订）</w:t>
            </w:r>
          </w:p>
          <w:p w14:paraId="55DD4E28">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六条自然保护区管理机构违反本条例规定，拒绝环境保护行政主管部门或者有关自然保护区行政主管部门监督检查，或者在被检查时弄虚作假的，由县级以上人民政府环境保护行政主管部门或者有关自然保护区行政主管部门给予300元以上3000元以下的罚款。</w:t>
            </w:r>
          </w:p>
        </w:tc>
        <w:tc>
          <w:tcPr>
            <w:tcW w:w="607" w:type="dxa"/>
            <w:noWrap w:val="0"/>
            <w:vAlign w:val="center"/>
          </w:tcPr>
          <w:p w14:paraId="590A6A57">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拒绝有关自然保护区行政主管部门监督检查，或者在被检查时弄虚作假行为的处罚</w:t>
            </w:r>
          </w:p>
        </w:tc>
        <w:tc>
          <w:tcPr>
            <w:tcW w:w="1899" w:type="dxa"/>
            <w:noWrap w:val="0"/>
            <w:vAlign w:val="center"/>
          </w:tcPr>
          <w:p w14:paraId="3D9CFE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403B5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4B70C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D5256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E4049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92C8D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C6525D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8E9B2C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0EB71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48B79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25D90B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67731BDA">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F5D0B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76EC0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ECED6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DB112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E0F7F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39A6DE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10522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BB41F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581B79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1A6FA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27E35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E9226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9AD18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45D18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AC0DD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348C6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502B7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88BF7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586522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78717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0025DE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0576D3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2CB16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53775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60EC0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2F7B9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FCABF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93BC5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EB90B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8E18E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F416F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4FC7C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3A2569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468B50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128B8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6414B2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B91E7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8A753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1552B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B7308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BC9C3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818D8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58598C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997AE1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D4DF9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A2E22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9C72B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4CCE7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657D7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5FDE3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5FF8B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308A8EF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59BA6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DE1DD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41DA9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CD9F4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9D1E1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9ACBF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E7686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7EAD6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06C25A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1776A8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5EAF48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2AD3B3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AC0FA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667EE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28F3A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5DC1E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E1977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C91C32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8BAEB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03050B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DD20D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E5E77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7E417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50A24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C1632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6F4E4F8">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206413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523A3F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3FA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64D77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28</w:t>
            </w:r>
          </w:p>
        </w:tc>
        <w:tc>
          <w:tcPr>
            <w:tcW w:w="608" w:type="dxa"/>
            <w:noWrap w:val="0"/>
            <w:vAlign w:val="center"/>
          </w:tcPr>
          <w:p w14:paraId="739E7172">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对侵占、破坏种质资源，私自采集或者采伐国家重点保护的天然种质资源行为的处罚</w:t>
            </w:r>
          </w:p>
        </w:tc>
        <w:tc>
          <w:tcPr>
            <w:tcW w:w="607" w:type="dxa"/>
            <w:noWrap w:val="0"/>
            <w:vAlign w:val="center"/>
          </w:tcPr>
          <w:p w14:paraId="7AC6BE5D">
            <w:pPr>
              <w:jc w:val="both"/>
              <w:rPr>
                <w:rFonts w:hint="eastAsia"/>
                <w:color w:val="auto"/>
                <w:highlight w:val="none"/>
                <w:lang w:val="en-US" w:eastAsia="zh-CN"/>
              </w:rPr>
            </w:pPr>
          </w:p>
          <w:p w14:paraId="785E61CD">
            <w:pPr>
              <w:pStyle w:val="2"/>
              <w:rPr>
                <w:rFonts w:hint="eastAsia" w:ascii="仿宋_GB2312" w:hAnsi="仿宋_GB2312" w:eastAsia="仿宋_GB2312" w:cs="仿宋_GB2312"/>
                <w:color w:val="auto"/>
                <w:sz w:val="18"/>
                <w:szCs w:val="18"/>
                <w:highlight w:val="none"/>
                <w:vertAlign w:val="baseline"/>
                <w:lang w:val="en-US" w:eastAsia="zh-CN"/>
              </w:rPr>
            </w:pPr>
          </w:p>
          <w:p w14:paraId="11FA116E">
            <w:pPr>
              <w:pStyle w:val="2"/>
              <w:rPr>
                <w:rFonts w:hint="eastAsia" w:ascii="仿宋_GB2312" w:hAnsi="仿宋_GB2312" w:eastAsia="仿宋_GB2312" w:cs="仿宋_GB2312"/>
                <w:color w:val="auto"/>
                <w:sz w:val="18"/>
                <w:szCs w:val="18"/>
                <w:highlight w:val="none"/>
                <w:vertAlign w:val="baseline"/>
                <w:lang w:val="en-US" w:eastAsia="zh-CN"/>
              </w:rPr>
            </w:pPr>
          </w:p>
          <w:p w14:paraId="253F4724">
            <w:pPr>
              <w:pStyle w:val="2"/>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896CBE8">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0222052000</w:t>
            </w:r>
          </w:p>
        </w:tc>
        <w:tc>
          <w:tcPr>
            <w:tcW w:w="1538" w:type="dxa"/>
            <w:noWrap w:val="0"/>
            <w:vAlign w:val="top"/>
          </w:tcPr>
          <w:p w14:paraId="5E59D7B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0D7D7A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第八条　国家依法保护种质资源，任何单位和个人不得侵占和破坏种质资源。</w:t>
            </w:r>
          </w:p>
          <w:p w14:paraId="7F924B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禁止采集或者采伐国家重点保护的天然种质资源。因科研等特殊情况需要采集或者采伐的，应当经国务院或者省、自治区、直辖市人民政府的农业农村、林业草原主管部门批准。</w:t>
            </w:r>
          </w:p>
          <w:p w14:paraId="0EAD5E2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第八十条　违反本法第八条规定，侵占、破坏种质资源，私自采集或者采伐国家重点保护的天然种质资源的，由县级以上人民政府农业农村、林业草原主管部门责令停止违法行为，没收种质资源和违法所得，并处五千元以上五万元以下罚款；造成损失的，依法承担赔偿责任。</w:t>
            </w:r>
          </w:p>
        </w:tc>
        <w:tc>
          <w:tcPr>
            <w:tcW w:w="607" w:type="dxa"/>
            <w:noWrap w:val="0"/>
            <w:vAlign w:val="center"/>
          </w:tcPr>
          <w:p w14:paraId="16853224">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对侵占、破坏种质资源，私自采集或者采伐国家重点保护的天然种质资源行为的处罚</w:t>
            </w:r>
          </w:p>
        </w:tc>
        <w:tc>
          <w:tcPr>
            <w:tcW w:w="1899" w:type="dxa"/>
            <w:noWrap w:val="0"/>
            <w:vAlign w:val="center"/>
          </w:tcPr>
          <w:p w14:paraId="16421E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3F6C0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9C9FF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58EC2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065B9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CAACA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75930B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1FC0BE6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20B2D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D0F2F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67BA3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DF1733F">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EB92D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B00A3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1C20C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DEB33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0BB14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9D00E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76F8E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5A049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85AC7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DB7A7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A49A2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98EF7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9D567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9B90D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63CBF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AB07B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2E1B5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00CAC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0B94E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853D7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F7146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50F33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29268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A1D2D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523AF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0F3B5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1026A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738F6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0B116A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C6098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242C8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EB0D9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1B7A96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40E8EB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520BB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333CF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8C807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B3074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699C1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29884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F89D2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723E4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5F75B0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6E25FE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C3CE7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442E2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48AE3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A0766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D3B2A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2D0DF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F9329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4E8423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D8A57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5F70E6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F473A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12BF6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28F0B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2E2D5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0A109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CE9FC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323C99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2DF6F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7BC984B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BF870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945BA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D7260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332BB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BA31A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E8840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1E7C19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68EA0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2A94E5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2C0BD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44079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BF617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CC47B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336B5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E7DE2B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9FF60F8">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B9CD5D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084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52644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29</w:t>
            </w:r>
          </w:p>
        </w:tc>
        <w:tc>
          <w:tcPr>
            <w:tcW w:w="608" w:type="dxa"/>
            <w:noWrap w:val="0"/>
            <w:vAlign w:val="center"/>
          </w:tcPr>
          <w:p w14:paraId="3181E36D">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对盗伐、滥伐森林或其他林木行为的处罚</w:t>
            </w:r>
          </w:p>
        </w:tc>
        <w:tc>
          <w:tcPr>
            <w:tcW w:w="607" w:type="dxa"/>
            <w:noWrap w:val="0"/>
            <w:vAlign w:val="center"/>
          </w:tcPr>
          <w:p w14:paraId="72AF913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C6BAD9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0222008000</w:t>
            </w:r>
          </w:p>
        </w:tc>
        <w:tc>
          <w:tcPr>
            <w:tcW w:w="1538" w:type="dxa"/>
            <w:noWrap w:val="0"/>
            <w:vAlign w:val="center"/>
          </w:tcPr>
          <w:p w14:paraId="282C28FF">
            <w:pPr>
              <w:keepNext w:val="0"/>
              <w:keepLines w:val="0"/>
              <w:pageBreakBefore w:val="0"/>
              <w:widowControl w:val="0"/>
              <w:kinsoku/>
              <w:wordWrap/>
              <w:overflowPunct/>
              <w:topLinePunct w:val="0"/>
              <w:autoSpaceDE/>
              <w:autoSpaceDN/>
              <w:bidi w:val="0"/>
              <w:spacing w:line="300" w:lineRule="exact"/>
              <w:ind w:left="420" w:left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53D57F3E">
            <w:pPr>
              <w:keepNext w:val="0"/>
              <w:keepLines w:val="0"/>
              <w:pageBreakBefore w:val="0"/>
              <w:widowControl w:val="0"/>
              <w:kinsoku/>
              <w:wordWrap/>
              <w:overflowPunct/>
              <w:topLinePunct w:val="0"/>
              <w:autoSpaceDE/>
              <w:autoSpaceDN/>
              <w:bidi w:val="0"/>
              <w:spacing w:line="300" w:lineRule="exact"/>
              <w:ind w:firstLine="360" w:firstLine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kern w:val="2"/>
                <w:sz w:val="18"/>
                <w:szCs w:val="18"/>
                <w:highlight w:val="none"/>
                <w:lang w:val="en-US" w:eastAsia="zh-CN"/>
              </w:rPr>
              <w:t>第七十六条 盗伐林木的，由县级以上人民政府林业主管部门责令限期在原地或者异地补种盗伐株数一倍以上五倍以下的树木，并处盗伐林木价值五倍以上十倍以下的罚款。</w:t>
            </w:r>
            <w:r>
              <w:rPr>
                <w:rFonts w:hint="eastAsia" w:ascii="仿宋_GB2312" w:hAnsi="仿宋_GB2312" w:eastAsia="仿宋_GB2312" w:cs="仿宋_GB2312"/>
                <w:color w:val="auto"/>
                <w:kern w:val="2"/>
                <w:sz w:val="18"/>
                <w:szCs w:val="18"/>
                <w:highlight w:val="none"/>
                <w:lang w:val="en-US" w:eastAsia="zh-CN"/>
              </w:rPr>
              <w:br w:type="textWrapping"/>
            </w:r>
            <w:r>
              <w:rPr>
                <w:rFonts w:hint="eastAsia" w:ascii="仿宋_GB2312" w:hAnsi="仿宋_GB2312" w:eastAsia="仿宋_GB2312" w:cs="仿宋_GB2312"/>
                <w:color w:val="auto"/>
                <w:kern w:val="2"/>
                <w:sz w:val="18"/>
                <w:szCs w:val="18"/>
                <w:highlight w:val="none"/>
                <w:lang w:val="en-US" w:eastAsia="zh-CN"/>
              </w:rPr>
              <w:t xml:space="preserve">   滥伐林木的，由县级以上人民政府林业主管部门责令限期在原地或者异地补种滥伐株数一倍以上三倍以下的树木，可以处滥伐林木价值三倍以上五倍以下的罚款。</w:t>
            </w:r>
          </w:p>
          <w:p w14:paraId="4B010F58">
            <w:pPr>
              <w:keepNext w:val="0"/>
              <w:keepLines w:val="0"/>
              <w:pageBreakBefore w:val="0"/>
              <w:widowControl w:val="0"/>
              <w:kinsoku/>
              <w:wordWrap/>
              <w:overflowPunct/>
              <w:topLinePunct w:val="0"/>
              <w:autoSpaceDE/>
              <w:autoSpaceDN/>
              <w:bidi w:val="0"/>
              <w:spacing w:line="300" w:lineRule="exact"/>
              <w:ind w:firstLine="360" w:firstLine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【行政法规】《中华人民共和国森林法实施条例》（2018年国务院令第698号修正）</w:t>
            </w:r>
          </w:p>
          <w:p w14:paraId="5173046B">
            <w:pPr>
              <w:keepNext w:val="0"/>
              <w:keepLines w:val="0"/>
              <w:pageBreakBefore w:val="0"/>
              <w:widowControl w:val="0"/>
              <w:kinsoku/>
              <w:wordWrap/>
              <w:overflowPunct/>
              <w:topLinePunct w:val="0"/>
              <w:autoSpaceDE/>
              <w:autoSpaceDN/>
              <w:bidi w:val="0"/>
              <w:spacing w:line="300" w:lineRule="exact"/>
              <w:ind w:firstLine="360" w:firstLine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八条盗伐森林或者其他林木，以立木材积计算不足0.5立方米或者幼树不足20株的，由县级以上人民政府林业主管部门责令补种盗伐株数10倍的树木，没收盗伐的林木或者变卖所得，并处盗伐林木价值3倍至5倍的罚款。 盗伐森林或者其他林木，以立木材积计算0.5立方米以上或者幼树20株以上的，由县级以上人民政府林业主管部门责令补种盗伐株数10倍的树木，没收盗伐的林木或者变卖所得，并处盗伐林木价值5倍至10倍的罚款。</w:t>
            </w:r>
          </w:p>
          <w:p w14:paraId="376B7CC4">
            <w:pPr>
              <w:keepNext w:val="0"/>
              <w:keepLines w:val="0"/>
              <w:pageBreakBefore w:val="0"/>
              <w:widowControl w:val="0"/>
              <w:kinsoku/>
              <w:wordWrap/>
              <w:overflowPunct/>
              <w:topLinePunct w:val="0"/>
              <w:autoSpaceDE/>
              <w:autoSpaceDN/>
              <w:bidi w:val="0"/>
              <w:adjustRightInd w:val="0"/>
              <w:snapToGrid w:val="0"/>
              <w:spacing w:line="300" w:lineRule="exact"/>
              <w:ind w:firstLine="360" w:firstLineChars="0"/>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九条滥伐森林或者其他林木，以立木材积计算不足2立方米或者幼树不足50株的，由县级以上人民政府林业主管部门责令补种滥伐株数5倍的树木，并处滥伐林木价值2倍至3倍的罚款。滥伐森林或者其他林木，以立木材积计算2立方米以上或者幼树50株以上的，由县级以上人民政府林业主管部门责令补种滥伐株数5倍的树木，并处滥伐林木价值3倍至5倍的罚款。超过木材生产计划采伐森林或者其他林木的，依照前两款规定处罚。</w:t>
            </w:r>
          </w:p>
        </w:tc>
        <w:tc>
          <w:tcPr>
            <w:tcW w:w="607" w:type="dxa"/>
            <w:noWrap w:val="0"/>
            <w:vAlign w:val="center"/>
          </w:tcPr>
          <w:p w14:paraId="041A5624">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对盗伐、滥伐森林或其他林木行为的处罚</w:t>
            </w:r>
          </w:p>
        </w:tc>
        <w:tc>
          <w:tcPr>
            <w:tcW w:w="1899" w:type="dxa"/>
            <w:noWrap w:val="0"/>
            <w:vAlign w:val="center"/>
          </w:tcPr>
          <w:p w14:paraId="2F4E27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AE92A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48616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1ACC2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A9F41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76F506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6B221A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9FFD29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2771F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A6745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280C3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4FC3F20">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5FBE7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4AF4F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7B397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EC5B6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97E6C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383251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C72BD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EE611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8ED1F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7F874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6E91C9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B789A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4FD9C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2E5663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D34D9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0E330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F430E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C102C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95510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C2C59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F0A3F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4C46F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684C40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AF849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0A167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FA3DB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118D7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DB563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35C89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3C37B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CE2B6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0A843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1537A8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5E68E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30DC6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7CCCD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131B6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4AF18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827AA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0C1C8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EEC22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67699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DBE26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96C3C4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036CF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5B7CA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7B469C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B9D31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F6AFB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C98D5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3A598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E4B801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0D332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C7184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6B08D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0282E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3617B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87D89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04B6F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0FE6D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9B7E42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EB8DA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24F630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910D7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C591E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AB757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E7278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68E8B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47BD1A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87E717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00FA2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465C34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74C5D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5A67B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31F92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C0AF4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810F8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A9068F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41ACBC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400440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3CA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E607A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30</w:t>
            </w:r>
          </w:p>
        </w:tc>
        <w:tc>
          <w:tcPr>
            <w:tcW w:w="608" w:type="dxa"/>
            <w:noWrap w:val="0"/>
            <w:vAlign w:val="center"/>
          </w:tcPr>
          <w:p w14:paraId="4D09F353">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w:t>
            </w:r>
            <w:r>
              <w:rPr>
                <w:rStyle w:val="12"/>
                <w:rFonts w:hint="eastAsia" w:ascii="仿宋_GB2312" w:hAnsi="仿宋_GB2312" w:eastAsia="仿宋_GB2312" w:cs="仿宋_GB2312"/>
                <w:color w:val="auto"/>
                <w:sz w:val="18"/>
                <w:szCs w:val="18"/>
                <w:highlight w:val="none"/>
              </w:rPr>
              <w:t>买卖林木采伐许可证、木材运输证件、批准出口文件、允许进出口证明书</w:t>
            </w:r>
            <w:r>
              <w:rPr>
                <w:rFonts w:hint="eastAsia" w:ascii="仿宋_GB2312" w:hAnsi="仿宋_GB2312" w:eastAsia="仿宋_GB2312" w:cs="仿宋_GB2312"/>
                <w:color w:val="auto"/>
                <w:sz w:val="18"/>
                <w:szCs w:val="18"/>
                <w:highlight w:val="none"/>
              </w:rPr>
              <w:t>行为的处罚</w:t>
            </w:r>
          </w:p>
        </w:tc>
        <w:tc>
          <w:tcPr>
            <w:tcW w:w="607" w:type="dxa"/>
            <w:noWrap w:val="0"/>
            <w:vAlign w:val="center"/>
          </w:tcPr>
          <w:p w14:paraId="459CF63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top"/>
          </w:tcPr>
          <w:p w14:paraId="6FDB673D">
            <w:pPr>
              <w:adjustRightInd w:val="0"/>
              <w:snapToGrid w:val="0"/>
              <w:rPr>
                <w:rFonts w:hint="eastAsia" w:ascii="仿宋_GB2312" w:hAnsi="仿宋_GB2312" w:eastAsia="仿宋_GB2312" w:cs="仿宋_GB2312"/>
                <w:color w:val="auto"/>
                <w:sz w:val="18"/>
                <w:szCs w:val="18"/>
                <w:highlight w:val="none"/>
              </w:rPr>
            </w:pPr>
          </w:p>
          <w:p w14:paraId="5D73F04B">
            <w:pPr>
              <w:adjustRightInd w:val="0"/>
              <w:snapToGrid w:val="0"/>
              <w:rPr>
                <w:rFonts w:hint="eastAsia" w:ascii="仿宋_GB2312" w:hAnsi="仿宋_GB2312" w:eastAsia="仿宋_GB2312" w:cs="仿宋_GB2312"/>
                <w:color w:val="auto"/>
                <w:sz w:val="18"/>
                <w:szCs w:val="18"/>
                <w:highlight w:val="none"/>
              </w:rPr>
            </w:pPr>
          </w:p>
          <w:p w14:paraId="3061C7B5">
            <w:pPr>
              <w:adjustRightInd w:val="0"/>
              <w:snapToGrid w:val="0"/>
              <w:rPr>
                <w:rFonts w:hint="eastAsia" w:ascii="仿宋_GB2312" w:hAnsi="仿宋_GB2312" w:eastAsia="仿宋_GB2312" w:cs="仿宋_GB2312"/>
                <w:color w:val="auto"/>
                <w:sz w:val="18"/>
                <w:szCs w:val="18"/>
                <w:highlight w:val="none"/>
              </w:rPr>
            </w:pPr>
          </w:p>
          <w:p w14:paraId="394E376E">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0222009000</w:t>
            </w:r>
          </w:p>
        </w:tc>
        <w:tc>
          <w:tcPr>
            <w:tcW w:w="1538" w:type="dxa"/>
            <w:noWrap w:val="0"/>
            <w:vAlign w:val="top"/>
          </w:tcPr>
          <w:p w14:paraId="1CD688AA">
            <w:pPr>
              <w:pStyle w:val="15"/>
              <w:adjustRightInd w:val="0"/>
              <w:snapToGrid w:val="0"/>
              <w:spacing w:before="0" w:beforeLines="0" w:beforeAutospacing="0" w:after="0" w:afterLines="0" w:afterAutospacing="0"/>
              <w:ind w:firstLine="345"/>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0AFB3D61">
            <w:pPr>
              <w:pStyle w:val="15"/>
              <w:adjustRightInd w:val="0"/>
              <w:snapToGrid w:val="0"/>
              <w:spacing w:before="0" w:beforeLines="0" w:beforeAutospacing="0" w:after="0" w:afterLines="0" w:afterAutospacing="0"/>
              <w:ind w:firstLine="345"/>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第五十六条第五款禁止伪造、变造、买卖、租借采伐许可证。</w:t>
            </w:r>
          </w:p>
          <w:p w14:paraId="3612FC03">
            <w:pPr>
              <w:pStyle w:val="15"/>
              <w:adjustRightInd w:val="0"/>
              <w:snapToGrid w:val="0"/>
              <w:spacing w:before="0" w:beforeLines="0" w:beforeAutospacing="0" w:after="0" w:afterLines="0" w:afterAutospacing="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w:t>
            </w:r>
            <w:r>
              <w:rPr>
                <w:rFonts w:hint="eastAsia" w:ascii="仿宋_GB2312" w:hAnsi="仿宋_GB2312" w:eastAsia="仿宋_GB2312" w:cs="仿宋_GB2312"/>
                <w:color w:val="auto"/>
                <w:sz w:val="18"/>
                <w:szCs w:val="18"/>
                <w:highlight w:val="none"/>
                <w:lang w:eastAsia="zh-CN"/>
              </w:rPr>
              <w:t>七十七</w:t>
            </w:r>
            <w:r>
              <w:rPr>
                <w:rFonts w:hint="eastAsia" w:ascii="仿宋_GB2312" w:hAnsi="仿宋_GB2312" w:eastAsia="仿宋_GB2312" w:cs="仿宋_GB2312"/>
                <w:color w:val="auto"/>
                <w:sz w:val="18"/>
                <w:szCs w:val="18"/>
                <w:highlight w:val="none"/>
              </w:rPr>
              <w:t>条 违反本法规定，</w:t>
            </w:r>
            <w:r>
              <w:rPr>
                <w:rFonts w:hint="eastAsia" w:ascii="仿宋_GB2312" w:hAnsi="仿宋_GB2312" w:eastAsia="仿宋_GB2312" w:cs="仿宋_GB2312"/>
                <w:color w:val="auto"/>
                <w:sz w:val="18"/>
                <w:szCs w:val="18"/>
                <w:highlight w:val="none"/>
                <w:lang w:eastAsia="zh-CN"/>
              </w:rPr>
              <w:t>伪造、变造、买卖、租借采伐许可证的，</w:t>
            </w:r>
            <w:r>
              <w:rPr>
                <w:rFonts w:hint="eastAsia" w:ascii="仿宋_GB2312" w:hAnsi="仿宋_GB2312" w:eastAsia="仿宋_GB2312" w:cs="仿宋_GB2312"/>
                <w:color w:val="auto"/>
                <w:sz w:val="18"/>
                <w:szCs w:val="18"/>
                <w:highlight w:val="none"/>
              </w:rPr>
              <w:t>由</w:t>
            </w:r>
            <w:r>
              <w:rPr>
                <w:rFonts w:hint="eastAsia" w:ascii="仿宋_GB2312" w:hAnsi="仿宋_GB2312" w:eastAsia="仿宋_GB2312" w:cs="仿宋_GB2312"/>
                <w:color w:val="auto"/>
                <w:sz w:val="18"/>
                <w:szCs w:val="18"/>
                <w:highlight w:val="none"/>
                <w:lang w:eastAsia="zh-CN"/>
              </w:rPr>
              <w:t>县级以上人民政府</w:t>
            </w:r>
            <w:r>
              <w:rPr>
                <w:rFonts w:hint="eastAsia" w:ascii="仿宋_GB2312" w:hAnsi="仿宋_GB2312" w:eastAsia="仿宋_GB2312" w:cs="仿宋_GB2312"/>
                <w:color w:val="auto"/>
                <w:sz w:val="18"/>
                <w:szCs w:val="18"/>
                <w:highlight w:val="none"/>
              </w:rPr>
              <w:t>林业主管部门没收</w:t>
            </w:r>
            <w:r>
              <w:rPr>
                <w:rFonts w:hint="eastAsia" w:ascii="仿宋_GB2312" w:hAnsi="仿宋_GB2312" w:eastAsia="仿宋_GB2312" w:cs="仿宋_GB2312"/>
                <w:color w:val="auto"/>
                <w:sz w:val="18"/>
                <w:szCs w:val="18"/>
                <w:highlight w:val="none"/>
                <w:lang w:eastAsia="zh-CN"/>
              </w:rPr>
              <w:t>证件和非法所得，并处</w:t>
            </w:r>
            <w:r>
              <w:rPr>
                <w:rFonts w:hint="eastAsia" w:ascii="仿宋_GB2312" w:hAnsi="仿宋_GB2312" w:eastAsia="仿宋_GB2312" w:cs="仿宋_GB2312"/>
                <w:color w:val="auto"/>
                <w:sz w:val="18"/>
                <w:szCs w:val="18"/>
                <w:highlight w:val="none"/>
              </w:rPr>
              <w:t>违法</w:t>
            </w:r>
            <w:r>
              <w:rPr>
                <w:rFonts w:hint="eastAsia" w:ascii="仿宋_GB2312" w:hAnsi="仿宋_GB2312" w:eastAsia="仿宋_GB2312" w:cs="仿宋_GB2312"/>
                <w:color w:val="auto"/>
                <w:sz w:val="18"/>
                <w:szCs w:val="18"/>
                <w:highlight w:val="none"/>
                <w:lang w:eastAsia="zh-CN"/>
              </w:rPr>
              <w:t>所得</w:t>
            </w:r>
            <w:r>
              <w:rPr>
                <w:rFonts w:hint="eastAsia" w:ascii="仿宋_GB2312" w:hAnsi="仿宋_GB2312" w:eastAsia="仿宋_GB2312" w:cs="仿宋_GB2312"/>
                <w:color w:val="auto"/>
                <w:sz w:val="18"/>
                <w:szCs w:val="18"/>
                <w:highlight w:val="none"/>
              </w:rPr>
              <w:t>一倍以上三倍以下的罚款；</w:t>
            </w:r>
            <w:r>
              <w:rPr>
                <w:rFonts w:hint="eastAsia" w:ascii="仿宋_GB2312" w:hAnsi="仿宋_GB2312" w:eastAsia="仿宋_GB2312" w:cs="仿宋_GB2312"/>
                <w:color w:val="auto"/>
                <w:sz w:val="18"/>
                <w:szCs w:val="18"/>
                <w:highlight w:val="none"/>
                <w:lang w:eastAsia="zh-CN"/>
              </w:rPr>
              <w:t>没有违法所得的，可以处以二万元以下罚款</w:t>
            </w:r>
            <w:r>
              <w:rPr>
                <w:rFonts w:hint="eastAsia" w:ascii="仿宋_GB2312" w:hAnsi="仿宋_GB2312" w:eastAsia="仿宋_GB2312" w:cs="仿宋_GB2312"/>
                <w:color w:val="auto"/>
                <w:sz w:val="18"/>
                <w:szCs w:val="18"/>
                <w:highlight w:val="none"/>
              </w:rPr>
              <w:t>。</w:t>
            </w:r>
          </w:p>
        </w:tc>
        <w:tc>
          <w:tcPr>
            <w:tcW w:w="607" w:type="dxa"/>
            <w:noWrap w:val="0"/>
            <w:vAlign w:val="center"/>
          </w:tcPr>
          <w:p w14:paraId="6F989015">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对买卖有关林木证件行为的处罚</w:t>
            </w:r>
          </w:p>
        </w:tc>
        <w:tc>
          <w:tcPr>
            <w:tcW w:w="1899" w:type="dxa"/>
            <w:noWrap w:val="0"/>
            <w:vAlign w:val="center"/>
          </w:tcPr>
          <w:p w14:paraId="59D841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A2050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163B9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715D3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E12CC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BF457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89668C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7AF235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0F830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83198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EACFD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CA38606">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CEB0D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658FC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18AC9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D443F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29877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DCE1C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8F3FF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750FF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EB97B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8F140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10D12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AD76E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6E8BB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8FC4E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97D8A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6070A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E657A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6B792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F1B9B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501B5B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CC5D3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2E34B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378BF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2D6090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AA162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421A6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AC263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2F00C0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14F26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7CAC91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7DE44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015B17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305FAB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485289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FE29A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3B618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26A9F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11A19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A6A92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472DE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41AED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91253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F9315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9029EE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1C348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4A878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18076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46A75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D4317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F830A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4740C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70D186E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28486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34751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06D3B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77B92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A86DF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48289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4086A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D9858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696BB0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8B6EC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5E5962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694F3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6FE2E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AF816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EF0F7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3BBA0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48E8A8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88E0BE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B86DF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B958DC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9A86E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BBD62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2D631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33985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DE5A4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B5FB05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2AD735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701357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109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F4BD3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31</w:t>
            </w:r>
          </w:p>
        </w:tc>
        <w:tc>
          <w:tcPr>
            <w:tcW w:w="608" w:type="dxa"/>
            <w:noWrap w:val="0"/>
            <w:vAlign w:val="center"/>
          </w:tcPr>
          <w:p w14:paraId="41E358BD">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对林区非法收购明知是盗伐、滥伐的林木行为的处罚</w:t>
            </w:r>
          </w:p>
        </w:tc>
        <w:tc>
          <w:tcPr>
            <w:tcW w:w="607" w:type="dxa"/>
            <w:noWrap w:val="0"/>
            <w:vAlign w:val="center"/>
          </w:tcPr>
          <w:p w14:paraId="48E62F0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top"/>
          </w:tcPr>
          <w:p w14:paraId="14DAE1DD">
            <w:pPr>
              <w:adjustRightInd w:val="0"/>
              <w:snapToGrid w:val="0"/>
              <w:rPr>
                <w:rFonts w:hint="eastAsia" w:ascii="仿宋_GB2312" w:hAnsi="仿宋_GB2312" w:eastAsia="仿宋_GB2312" w:cs="仿宋_GB2312"/>
                <w:color w:val="auto"/>
                <w:sz w:val="18"/>
                <w:szCs w:val="18"/>
                <w:highlight w:val="none"/>
              </w:rPr>
            </w:pPr>
          </w:p>
          <w:p w14:paraId="4731A155">
            <w:pPr>
              <w:adjustRightInd w:val="0"/>
              <w:snapToGrid w:val="0"/>
              <w:rPr>
                <w:rFonts w:hint="eastAsia" w:ascii="仿宋_GB2312" w:hAnsi="仿宋_GB2312" w:eastAsia="仿宋_GB2312" w:cs="仿宋_GB2312"/>
                <w:color w:val="auto"/>
                <w:sz w:val="18"/>
                <w:szCs w:val="18"/>
                <w:highlight w:val="none"/>
              </w:rPr>
            </w:pPr>
          </w:p>
          <w:p w14:paraId="6A7E5AD2">
            <w:pPr>
              <w:adjustRightInd w:val="0"/>
              <w:snapToGrid w:val="0"/>
              <w:rPr>
                <w:rFonts w:hint="eastAsia" w:ascii="仿宋_GB2312" w:hAnsi="仿宋_GB2312" w:eastAsia="仿宋_GB2312" w:cs="仿宋_GB2312"/>
                <w:color w:val="auto"/>
                <w:sz w:val="18"/>
                <w:szCs w:val="18"/>
                <w:highlight w:val="none"/>
              </w:rPr>
            </w:pPr>
          </w:p>
          <w:p w14:paraId="2927185A">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0222010000</w:t>
            </w:r>
          </w:p>
        </w:tc>
        <w:tc>
          <w:tcPr>
            <w:tcW w:w="1538" w:type="dxa"/>
            <w:noWrap w:val="0"/>
            <w:vAlign w:val="top"/>
          </w:tcPr>
          <w:p w14:paraId="0686E5AF">
            <w:pPr>
              <w:pStyle w:val="15"/>
              <w:adjustRightInd w:val="0"/>
              <w:snapToGrid w:val="0"/>
              <w:spacing w:before="0" w:beforeLines="0" w:beforeAutospacing="0" w:after="0" w:afterLines="0" w:afterAutospacing="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w:t>
            </w:r>
          </w:p>
          <w:p w14:paraId="2245BD08">
            <w:pPr>
              <w:pStyle w:val="15"/>
              <w:adjustRightInd w:val="0"/>
              <w:snapToGrid w:val="0"/>
              <w:spacing w:before="0" w:beforeLines="0" w:beforeAutospacing="0" w:after="0" w:afterLines="0" w:afterAutospacing="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27F7856A">
            <w:pPr>
              <w:pStyle w:val="15"/>
              <w:adjustRightInd w:val="0"/>
              <w:snapToGrid w:val="0"/>
              <w:spacing w:before="0" w:beforeLines="0" w:beforeAutospacing="0" w:after="0" w:afterLines="0" w:afterAutospacing="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第</w:t>
            </w:r>
            <w:r>
              <w:rPr>
                <w:rFonts w:hint="eastAsia" w:ascii="仿宋_GB2312" w:hAnsi="仿宋_GB2312" w:eastAsia="仿宋_GB2312" w:cs="仿宋_GB2312"/>
                <w:color w:val="auto"/>
                <w:sz w:val="18"/>
                <w:szCs w:val="18"/>
                <w:highlight w:val="none"/>
                <w:lang w:eastAsia="zh-CN"/>
              </w:rPr>
              <w:t>七</w:t>
            </w:r>
            <w:r>
              <w:rPr>
                <w:rFonts w:hint="eastAsia" w:ascii="仿宋_GB2312" w:hAnsi="仿宋_GB2312" w:eastAsia="仿宋_GB2312" w:cs="仿宋_GB2312"/>
                <w:color w:val="auto"/>
                <w:sz w:val="18"/>
                <w:szCs w:val="18"/>
                <w:highlight w:val="none"/>
              </w:rPr>
              <w:t>十</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 xml:space="preserve">条 </w:t>
            </w:r>
            <w:r>
              <w:rPr>
                <w:rFonts w:hint="eastAsia" w:ascii="仿宋_GB2312" w:hAnsi="仿宋_GB2312" w:eastAsia="仿宋_GB2312" w:cs="仿宋_GB2312"/>
                <w:color w:val="auto"/>
                <w:kern w:val="2"/>
                <w:sz w:val="18"/>
                <w:szCs w:val="18"/>
                <w:highlight w:val="none"/>
                <w:lang w:val="en-US" w:eastAsia="zh-CN"/>
              </w:rPr>
              <w:t>违反本法规定，收购、加工、运输明知是盗伐、滥伐等非法来源的林木的，由县级以上人民政府林业主管部门责令停止违法行为，没收违法收购、加工、运输的林木或者变卖所得，可以处违法收购、加工、运输林木价款三倍以下的罚款。</w:t>
            </w:r>
          </w:p>
        </w:tc>
        <w:tc>
          <w:tcPr>
            <w:tcW w:w="607" w:type="dxa"/>
            <w:noWrap w:val="0"/>
            <w:vAlign w:val="center"/>
          </w:tcPr>
          <w:p w14:paraId="59F538E7">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对林区非法收购明知是盗伐、滥伐的林木行为的处罚</w:t>
            </w:r>
          </w:p>
        </w:tc>
        <w:tc>
          <w:tcPr>
            <w:tcW w:w="1899" w:type="dxa"/>
            <w:noWrap w:val="0"/>
            <w:vAlign w:val="center"/>
          </w:tcPr>
          <w:p w14:paraId="6440A1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8C1DE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F63FB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51B9E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F9772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0A4F21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323462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BF6A13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EE752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D64C4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C9021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6210D01D">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91E87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74877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E5987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05EF5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2AE35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D60AF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4C7ED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AD611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4CF463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702E2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1C4473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BC0E6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FC2F6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D2788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90139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90352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CB4E8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CEF70AD">
            <w:pPr>
              <w:shd w:val="clear" w:color="auto" w:fill="FFFFFF"/>
              <w:adjustRightInd w:val="0"/>
              <w:snapToGrid w:val="0"/>
              <w:rPr>
                <w:rFonts w:hint="eastAsia" w:ascii="仿宋_GB2312" w:hAnsi="仿宋_GB2312" w:eastAsia="仿宋_GB2312" w:cs="仿宋_GB2312"/>
                <w:color w:val="auto"/>
                <w:sz w:val="18"/>
                <w:szCs w:val="18"/>
                <w:highlight w:val="none"/>
              </w:rPr>
            </w:pPr>
          </w:p>
          <w:p w14:paraId="0DD4BA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357CA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B188D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0B5B4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FB45B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89517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31636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62AFD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5A4D12A">
            <w:pPr>
              <w:shd w:val="clear" w:color="auto" w:fill="FFFFFF"/>
              <w:adjustRightInd w:val="0"/>
              <w:snapToGrid w:val="0"/>
              <w:rPr>
                <w:rFonts w:hint="eastAsia" w:ascii="仿宋_GB2312" w:hAnsi="仿宋_GB2312" w:eastAsia="仿宋_GB2312" w:cs="仿宋_GB2312"/>
                <w:color w:val="auto"/>
                <w:sz w:val="18"/>
                <w:szCs w:val="18"/>
                <w:highlight w:val="none"/>
              </w:rPr>
            </w:pPr>
          </w:p>
          <w:p w14:paraId="610344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F6A3F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D8758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E3E68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AEC05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13CF4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99DD2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525CC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61C6CAE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7ED32C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4CFAD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BA8CD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C50B0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1E072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527492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C2FEF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FC40C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3F05E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9FD7B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DF9866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D8873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8BAA4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238100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E5A62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E99A5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740A5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22728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29F4E4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DA2C6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BCA9B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CE518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CCB80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D6615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84C98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5CC17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57E4A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09C903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7720D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B3B0F8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1ED8EC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24937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4EB1D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BD8F4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DCC70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15A850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97425D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01B1B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4218F2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013DA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82314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54E47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683A6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F956C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46EEA2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242E62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B582BB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635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8B1694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32</w:t>
            </w:r>
          </w:p>
        </w:tc>
        <w:tc>
          <w:tcPr>
            <w:tcW w:w="608" w:type="dxa"/>
            <w:noWrap w:val="0"/>
            <w:vAlign w:val="center"/>
          </w:tcPr>
          <w:p w14:paraId="1774A0F6">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对非法开垦、采石、采砂、采土、采种、采脂等其他活动致使森林、林木受到毁坏行为的处罚</w:t>
            </w:r>
          </w:p>
        </w:tc>
        <w:tc>
          <w:tcPr>
            <w:tcW w:w="607" w:type="dxa"/>
            <w:noWrap w:val="0"/>
            <w:vAlign w:val="center"/>
          </w:tcPr>
          <w:p w14:paraId="52443A3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top"/>
          </w:tcPr>
          <w:p w14:paraId="3E17410C">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0222011000</w:t>
            </w:r>
          </w:p>
        </w:tc>
        <w:tc>
          <w:tcPr>
            <w:tcW w:w="1538" w:type="dxa"/>
            <w:noWrap w:val="0"/>
            <w:vAlign w:val="top"/>
          </w:tcPr>
          <w:p w14:paraId="10134EF4">
            <w:pPr>
              <w:ind w:firstLine="360" w:firstLineChars="200"/>
              <w:rPr>
                <w:rStyle w:val="12"/>
                <w:rFonts w:hint="eastAsia" w:ascii="仿宋_GB2312" w:hAnsi="仿宋_GB2312" w:eastAsia="仿宋_GB2312" w:cs="仿宋_GB2312"/>
                <w:color w:val="auto"/>
                <w:sz w:val="18"/>
                <w:szCs w:val="18"/>
                <w:highlight w:val="none"/>
                <w:shd w:val="clear" w:color="auto" w:fill="FFFFFF"/>
              </w:rPr>
            </w:pPr>
            <w:r>
              <w:rPr>
                <w:rFonts w:hint="eastAsia" w:ascii="仿宋_GB2312" w:hAnsi="仿宋_GB2312" w:eastAsia="仿宋_GB2312" w:cs="仿宋_GB2312"/>
                <w:color w:val="auto"/>
                <w:sz w:val="18"/>
                <w:szCs w:val="18"/>
                <w:highlight w:val="none"/>
                <w:shd w:val="clear" w:color="auto" w:fill="FFFFFF"/>
              </w:rPr>
              <w:t>【法律】《中华人民共和国森林法》</w:t>
            </w:r>
            <w:r>
              <w:rPr>
                <w:rFonts w:hint="eastAsia" w:ascii="仿宋_GB2312" w:hAnsi="仿宋_GB2312" w:eastAsia="仿宋_GB2312" w:cs="仿宋_GB2312"/>
                <w:color w:val="auto"/>
                <w:sz w:val="18"/>
                <w:szCs w:val="18"/>
                <w:highlight w:val="none"/>
              </w:rPr>
              <w:t>（20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0A3E0285">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Style w:val="12"/>
                <w:rFonts w:hint="eastAsia" w:ascii="仿宋_GB2312" w:hAnsi="仿宋_GB2312" w:eastAsia="仿宋_GB2312" w:cs="仿宋_GB2312"/>
                <w:color w:val="auto"/>
                <w:sz w:val="18"/>
                <w:szCs w:val="18"/>
                <w:highlight w:val="none"/>
                <w:shd w:val="clear" w:color="auto" w:fill="FFFFFF"/>
              </w:rPr>
              <w:t>第</w:t>
            </w:r>
            <w:r>
              <w:rPr>
                <w:rStyle w:val="12"/>
                <w:rFonts w:hint="eastAsia" w:ascii="仿宋_GB2312" w:hAnsi="仿宋_GB2312" w:eastAsia="仿宋_GB2312" w:cs="仿宋_GB2312"/>
                <w:color w:val="auto"/>
                <w:sz w:val="18"/>
                <w:szCs w:val="18"/>
                <w:highlight w:val="none"/>
                <w:shd w:val="clear" w:color="auto" w:fill="FFFFFF"/>
                <w:lang w:eastAsia="zh-CN"/>
              </w:rPr>
              <w:t>七</w:t>
            </w:r>
            <w:r>
              <w:rPr>
                <w:rStyle w:val="12"/>
                <w:rFonts w:hint="eastAsia" w:ascii="仿宋_GB2312" w:hAnsi="仿宋_GB2312" w:eastAsia="仿宋_GB2312" w:cs="仿宋_GB2312"/>
                <w:color w:val="auto"/>
                <w:sz w:val="18"/>
                <w:szCs w:val="18"/>
                <w:highlight w:val="none"/>
                <w:shd w:val="clear" w:color="auto" w:fill="FFFFFF"/>
              </w:rPr>
              <w:t>十四条第一款</w:t>
            </w:r>
            <w:r>
              <w:rPr>
                <w:rFonts w:hint="eastAsia" w:ascii="仿宋_GB2312" w:hAnsi="仿宋_GB2312" w:eastAsia="仿宋_GB2312" w:cs="仿宋_GB2312"/>
                <w:color w:val="auto"/>
                <w:kern w:val="2"/>
                <w:sz w:val="18"/>
                <w:szCs w:val="18"/>
                <w:highlight w:val="none"/>
                <w:lang w:val="en-US" w:eastAsia="zh-CN"/>
              </w:rPr>
              <w:t>违反本法规定，进行开垦、采石、采砂、采土或者其他活动，造成林木毁坏的，由县级以上人民政府林业主管部门责令停止违法行为，限期在原地或者异地补种毁坏株数一倍以上三倍以下的树木，可以处毁坏林木价值五倍以下的罚款；造成林地毁坏的，由县级以上人民政府林业主管部门责令停止违法行为，限期恢复植被和林业生产条件，可以处恢复植被和林业生产条件所需费用三倍以下的罚款。</w:t>
            </w:r>
          </w:p>
        </w:tc>
        <w:tc>
          <w:tcPr>
            <w:tcW w:w="607" w:type="dxa"/>
            <w:noWrap w:val="0"/>
            <w:vAlign w:val="center"/>
          </w:tcPr>
          <w:p w14:paraId="12F4BAB0">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对非法开垦、采石、采砂、采土、采种、采脂等其他活动致使森林、林木受到毁坏行为的处罚</w:t>
            </w:r>
          </w:p>
        </w:tc>
        <w:tc>
          <w:tcPr>
            <w:tcW w:w="1899" w:type="dxa"/>
            <w:noWrap w:val="0"/>
            <w:vAlign w:val="center"/>
          </w:tcPr>
          <w:p w14:paraId="629CB9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E5972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8D8F6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3A2AF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9FAFC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AD4E6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E9AC50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A24EAC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147CC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550005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2631E4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25D4BF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EA67F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8204E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8D49B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15981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146F5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54E4B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D5D2F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BD9F0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6E9EF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2E8A7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76FB9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76563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E1F64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7D277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57170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9D7BB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E8009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26993D9">
            <w:pPr>
              <w:shd w:val="clear" w:color="auto" w:fill="FFFFFF"/>
              <w:adjustRightInd w:val="0"/>
              <w:snapToGrid w:val="0"/>
              <w:rPr>
                <w:rFonts w:hint="eastAsia" w:ascii="仿宋_GB2312" w:hAnsi="仿宋_GB2312" w:eastAsia="仿宋_GB2312" w:cs="仿宋_GB2312"/>
                <w:color w:val="auto"/>
                <w:sz w:val="18"/>
                <w:szCs w:val="18"/>
                <w:highlight w:val="none"/>
              </w:rPr>
            </w:pPr>
          </w:p>
          <w:p w14:paraId="7992ED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66225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B24CB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8AFA9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8BD38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3BB49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9D4BF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9CE14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D99128E">
            <w:pPr>
              <w:shd w:val="clear" w:color="auto" w:fill="FFFFFF"/>
              <w:adjustRightInd w:val="0"/>
              <w:snapToGrid w:val="0"/>
              <w:rPr>
                <w:rFonts w:hint="eastAsia" w:ascii="仿宋_GB2312" w:hAnsi="仿宋_GB2312" w:eastAsia="仿宋_GB2312" w:cs="仿宋_GB2312"/>
                <w:color w:val="auto"/>
                <w:sz w:val="18"/>
                <w:szCs w:val="18"/>
                <w:highlight w:val="none"/>
              </w:rPr>
            </w:pPr>
          </w:p>
          <w:p w14:paraId="6E4580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A6980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D1E9A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98FCA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625E9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1FA00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0C169A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97F8F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34317D0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650042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5E040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286C1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317A7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39789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AC175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B10E5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DAF86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68DC6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57872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128D85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097D2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8CA0A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2F46F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EC040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62D619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A6557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409D4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DC9F70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45325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93E30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DA309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C14F6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D86F2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C5743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BEEEF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0B115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8A8DE7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229A4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C22BD9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A47CD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22BD3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18919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74075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ED93A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17A705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F6AC50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A4485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4AF081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A85D0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4E4FA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D680E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EEF9D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C5126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548A1C8">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D25509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FFF073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25C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F59D94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33</w:t>
            </w:r>
          </w:p>
        </w:tc>
        <w:tc>
          <w:tcPr>
            <w:tcW w:w="608" w:type="dxa"/>
            <w:noWrap w:val="0"/>
            <w:vAlign w:val="center"/>
          </w:tcPr>
          <w:p w14:paraId="0DA66EC2">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在幼林地、特种用途林内砍柴、放牧致使林木受到毁坏的处罚</w:t>
            </w:r>
          </w:p>
        </w:tc>
        <w:tc>
          <w:tcPr>
            <w:tcW w:w="607" w:type="dxa"/>
            <w:noWrap w:val="0"/>
            <w:vAlign w:val="center"/>
          </w:tcPr>
          <w:p w14:paraId="52296DB6">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4ACABB8">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0222013000</w:t>
            </w:r>
          </w:p>
        </w:tc>
        <w:tc>
          <w:tcPr>
            <w:tcW w:w="1538" w:type="dxa"/>
            <w:noWrap w:val="0"/>
            <w:vAlign w:val="center"/>
          </w:tcPr>
          <w:p w14:paraId="173AFA2E">
            <w:pPr>
              <w:pStyle w:val="15"/>
              <w:adjustRightInd w:val="0"/>
              <w:snapToGrid w:val="0"/>
              <w:spacing w:before="0" w:beforeLines="0" w:beforeAutospacing="0" w:after="0" w:afterLines="0" w:afterAutospacing="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68990C61">
            <w:pPr>
              <w:pStyle w:val="15"/>
              <w:adjustRightInd w:val="0"/>
              <w:snapToGrid w:val="0"/>
              <w:spacing w:before="0" w:beforeLines="0" w:beforeAutospacing="0" w:after="0" w:afterLines="0" w:afterAutospacing="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w:t>
            </w:r>
            <w:r>
              <w:rPr>
                <w:rFonts w:hint="eastAsia" w:ascii="仿宋_GB2312" w:hAnsi="仿宋_GB2312" w:eastAsia="仿宋_GB2312" w:cs="仿宋_GB2312"/>
                <w:color w:val="auto"/>
                <w:sz w:val="18"/>
                <w:szCs w:val="18"/>
                <w:highlight w:val="none"/>
                <w:lang w:eastAsia="zh-CN"/>
              </w:rPr>
              <w:t>七</w:t>
            </w:r>
            <w:r>
              <w:rPr>
                <w:rFonts w:hint="eastAsia" w:ascii="仿宋_GB2312" w:hAnsi="仿宋_GB2312" w:eastAsia="仿宋_GB2312" w:cs="仿宋_GB2312"/>
                <w:color w:val="auto"/>
                <w:sz w:val="18"/>
                <w:szCs w:val="18"/>
                <w:highlight w:val="none"/>
              </w:rPr>
              <w:t xml:space="preserve">十四条第二款 </w:t>
            </w:r>
            <w:r>
              <w:rPr>
                <w:rFonts w:hint="eastAsia" w:ascii="仿宋_GB2312" w:hAnsi="仿宋_GB2312" w:eastAsia="仿宋_GB2312" w:cs="仿宋_GB2312"/>
                <w:color w:val="auto"/>
                <w:kern w:val="2"/>
                <w:sz w:val="18"/>
                <w:szCs w:val="18"/>
                <w:highlight w:val="none"/>
                <w:lang w:val="en-US" w:eastAsia="zh-CN"/>
              </w:rPr>
              <w:t>违反本法规定，在幼林地砍柴、毁苗、放牧造成林木毁坏的，由县级以上人民政府林业主管部门责令停止违法行为，限期在原地或者异地补种毁坏株数一倍以上三倍以下的树木。</w:t>
            </w:r>
          </w:p>
        </w:tc>
        <w:tc>
          <w:tcPr>
            <w:tcW w:w="607" w:type="dxa"/>
            <w:noWrap w:val="0"/>
            <w:vAlign w:val="center"/>
          </w:tcPr>
          <w:p w14:paraId="241D5FC0">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在幼林地、特种用途林内砍柴、放牧致使林木受到毁坏的处罚</w:t>
            </w:r>
          </w:p>
        </w:tc>
        <w:tc>
          <w:tcPr>
            <w:tcW w:w="1899" w:type="dxa"/>
            <w:noWrap w:val="0"/>
            <w:vAlign w:val="center"/>
          </w:tcPr>
          <w:p w14:paraId="05D6C8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4520D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37A4B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CFC26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34856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24744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0D6DC8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3B1C75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7E991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98EC0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20CB1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F161418">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F008B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5D581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B588B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6D0AE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D40AA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23F09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2B184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B9F26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9D78C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C4E5D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83E01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EB4CB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6FE3C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89292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0A63C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8B6BE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06E9C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E91F58C">
            <w:pPr>
              <w:shd w:val="clear" w:color="auto" w:fill="FFFFFF"/>
              <w:adjustRightInd w:val="0"/>
              <w:snapToGrid w:val="0"/>
              <w:rPr>
                <w:rFonts w:hint="eastAsia" w:ascii="仿宋_GB2312" w:hAnsi="仿宋_GB2312" w:eastAsia="仿宋_GB2312" w:cs="仿宋_GB2312"/>
                <w:color w:val="auto"/>
                <w:sz w:val="18"/>
                <w:szCs w:val="18"/>
                <w:highlight w:val="none"/>
              </w:rPr>
            </w:pPr>
          </w:p>
          <w:p w14:paraId="77B39F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825B9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5B2AA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971EA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5D0EB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83828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73C6B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0CB34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1580EA8">
            <w:pPr>
              <w:shd w:val="clear" w:color="auto" w:fill="FFFFFF"/>
              <w:adjustRightInd w:val="0"/>
              <w:snapToGrid w:val="0"/>
              <w:rPr>
                <w:rFonts w:hint="eastAsia" w:ascii="仿宋_GB2312" w:hAnsi="仿宋_GB2312" w:eastAsia="仿宋_GB2312" w:cs="仿宋_GB2312"/>
                <w:color w:val="auto"/>
                <w:sz w:val="18"/>
                <w:szCs w:val="18"/>
                <w:highlight w:val="none"/>
              </w:rPr>
            </w:pPr>
          </w:p>
          <w:p w14:paraId="3E9F3A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2B4C7A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3E755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B6B4C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D2EFD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CA904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1731A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95C404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5C1AE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30B05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DA9EE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01CB8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664E6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515FE9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20A3B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489E1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134BA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189CF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D93AD7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B0B1B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95228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7A4A3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F0A55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48BCE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F36DB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90228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D9AB93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52E06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4768A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0D975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9466D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E2E47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32B95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8DA3A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60356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DB3BA91">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42E14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BFF3CC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197B88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76FDA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9C605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6AF3D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4C5CF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0F9F60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DC528E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4843F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267082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7453D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C6BA2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36815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4BA3FC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3D34D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287C0D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708F6B8">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9710D6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CE4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DE7DB9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34</w:t>
            </w:r>
          </w:p>
        </w:tc>
        <w:tc>
          <w:tcPr>
            <w:tcW w:w="608" w:type="dxa"/>
            <w:noWrap w:val="0"/>
            <w:vAlign w:val="center"/>
          </w:tcPr>
          <w:p w14:paraId="17E10E81">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对采伐林木的单位或者个人没有按照规定完成更新造林任务的处罚</w:t>
            </w:r>
          </w:p>
        </w:tc>
        <w:tc>
          <w:tcPr>
            <w:tcW w:w="607" w:type="dxa"/>
            <w:noWrap w:val="0"/>
            <w:vAlign w:val="center"/>
          </w:tcPr>
          <w:p w14:paraId="35E55E5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DC90717">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0222014000</w:t>
            </w:r>
          </w:p>
        </w:tc>
        <w:tc>
          <w:tcPr>
            <w:tcW w:w="1538" w:type="dxa"/>
            <w:noWrap w:val="0"/>
            <w:vAlign w:val="center"/>
          </w:tcPr>
          <w:p w14:paraId="401956F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w:t>
            </w:r>
          </w:p>
          <w:p w14:paraId="420C4CE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五条采伐林木的单位或者个人没有按照规定完成更新造林任务的，发放采伐许可证的部门有权不再发给采伐许可证，直到完成更新造林任务为止；情节严重的，可以由林业主管部门处以罚款，对直接责任人员由所在单位或者上级主管机关给予行政处分。</w:t>
            </w:r>
          </w:p>
          <w:p w14:paraId="04FAD5B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【行政法规】《中华人民共和国森林法实施条例》（2018年国务院令第698号修改）</w:t>
            </w:r>
          </w:p>
          <w:p w14:paraId="3AB6226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第四十二条　有下列情形之一的，由县级以上人民政府林业主管部门责令限期完成造林任务；逾期未完成的，可以处应完成而未完成造林任务所需费用2倍以下的罚款；对直接负责的主管人员和其他直接责任人员，依法给予行政处分：（一）连续两年未完成更新造林任务的；（二）当年更新造林面积未达到应更新造林面积50%的；（三）除国家特别规定的干旱、半干旱地区外，更新造林当年成活率未达到85%的；（四）植树造林责任单位未按照所在地县级人民政府的要求按时完成造林任务的。</w:t>
            </w:r>
          </w:p>
        </w:tc>
        <w:tc>
          <w:tcPr>
            <w:tcW w:w="607" w:type="dxa"/>
            <w:noWrap w:val="0"/>
            <w:vAlign w:val="center"/>
          </w:tcPr>
          <w:p w14:paraId="57CC55CB">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对采伐林木的单位或者个人没有按照规定完成更新造林任务的处罚</w:t>
            </w:r>
          </w:p>
        </w:tc>
        <w:tc>
          <w:tcPr>
            <w:tcW w:w="1899" w:type="dxa"/>
            <w:noWrap w:val="0"/>
            <w:vAlign w:val="center"/>
          </w:tcPr>
          <w:p w14:paraId="739346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D0650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A9356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CB802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12D9F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009FE7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5E2A0D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B2D299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919E2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3143D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38F10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8376027">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FF843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76D60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EEF04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30E43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FF875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54133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D1AB8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59459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E5168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3E8F7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6AEDA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407F6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34E8A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0581D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B4D60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E88E1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5C818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74A36C4">
            <w:pPr>
              <w:shd w:val="clear" w:color="auto" w:fill="FFFFFF"/>
              <w:adjustRightInd w:val="0"/>
              <w:snapToGrid w:val="0"/>
              <w:rPr>
                <w:rFonts w:hint="eastAsia" w:ascii="仿宋_GB2312" w:hAnsi="仿宋_GB2312" w:eastAsia="仿宋_GB2312" w:cs="仿宋_GB2312"/>
                <w:color w:val="auto"/>
                <w:sz w:val="18"/>
                <w:szCs w:val="18"/>
                <w:highlight w:val="none"/>
              </w:rPr>
            </w:pPr>
          </w:p>
          <w:p w14:paraId="366312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6515E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D99A4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EFDB0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9E942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85116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62B77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DD90F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D8B2DED">
            <w:pPr>
              <w:shd w:val="clear" w:color="auto" w:fill="FFFFFF"/>
              <w:adjustRightInd w:val="0"/>
              <w:snapToGrid w:val="0"/>
              <w:rPr>
                <w:rFonts w:hint="eastAsia" w:ascii="仿宋_GB2312" w:hAnsi="仿宋_GB2312" w:eastAsia="仿宋_GB2312" w:cs="仿宋_GB2312"/>
                <w:color w:val="auto"/>
                <w:sz w:val="18"/>
                <w:szCs w:val="18"/>
                <w:highlight w:val="none"/>
              </w:rPr>
            </w:pPr>
          </w:p>
          <w:p w14:paraId="3EF3A4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06BA1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30F1B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66929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09881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132A9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68564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CF33A7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42C7C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7BF0D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48761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B939B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CB166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613FD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5E2D6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A7709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584F81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3C7B7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4CAC8F3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13D5D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8585D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4DB75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C6698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1E348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FDB11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FC151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79586CE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5F52B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5B82A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78131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CBD7C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90938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489CA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3FA5C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E382E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4AF7DE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EA55C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F7FC84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58E54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854E0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387BE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AB7E3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CBA00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177B9D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B0BF34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2C2F9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189255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22F37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93367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8029C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8A04C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30940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2BD6A7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C6BAD6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37E879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53F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2EA94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35</w:t>
            </w:r>
          </w:p>
        </w:tc>
        <w:tc>
          <w:tcPr>
            <w:tcW w:w="608" w:type="dxa"/>
            <w:noWrap w:val="0"/>
            <w:vAlign w:val="center"/>
          </w:tcPr>
          <w:p w14:paraId="4F979FE1">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对收购没有林木采伐许可证或者其他合法来源证明的木材行为的处罚</w:t>
            </w:r>
          </w:p>
        </w:tc>
        <w:tc>
          <w:tcPr>
            <w:tcW w:w="607" w:type="dxa"/>
            <w:noWrap w:val="0"/>
            <w:vAlign w:val="center"/>
          </w:tcPr>
          <w:p w14:paraId="2FC388F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16B5041">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0222015000</w:t>
            </w:r>
          </w:p>
        </w:tc>
        <w:tc>
          <w:tcPr>
            <w:tcW w:w="1538" w:type="dxa"/>
            <w:noWrap w:val="0"/>
            <w:vAlign w:val="top"/>
          </w:tcPr>
          <w:p w14:paraId="7F72BA2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【行政法规】《中华人民共和国森林法实施条例》（2018年国务院令第698号修正）</w:t>
            </w:r>
          </w:p>
          <w:p w14:paraId="125E9FC1">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第四十条  违反本条例规定，收购没有林木采伐许可证或者其他合法来源证明的木材的，由县级以上人民政府林业主管部门没收非法经营的木材和违法所得，并处违法所得2倍以下的罚款。”</w:t>
            </w:r>
          </w:p>
        </w:tc>
        <w:tc>
          <w:tcPr>
            <w:tcW w:w="607" w:type="dxa"/>
            <w:noWrap w:val="0"/>
            <w:vAlign w:val="center"/>
          </w:tcPr>
          <w:p w14:paraId="4363628B">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对收购没有林木采伐许可证或者其他合法来源证明的木材的处罚</w:t>
            </w:r>
          </w:p>
        </w:tc>
        <w:tc>
          <w:tcPr>
            <w:tcW w:w="1899" w:type="dxa"/>
            <w:noWrap w:val="0"/>
            <w:vAlign w:val="center"/>
          </w:tcPr>
          <w:p w14:paraId="4D2AA0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92623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D21AB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588C8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6ECEA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7E850A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94EEA4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BAE40B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F80E3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2889A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2EF4F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21C761A">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AC00C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364DA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73F27F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A43DD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FD888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5C8C3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E8D68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FA836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CE925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B9F6F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D7DBB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B0F55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62AA8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9F692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E0DAA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9F88C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FC34A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84C913D">
            <w:pPr>
              <w:shd w:val="clear" w:color="auto" w:fill="FFFFFF"/>
              <w:adjustRightInd w:val="0"/>
              <w:snapToGrid w:val="0"/>
              <w:rPr>
                <w:rFonts w:hint="eastAsia" w:ascii="仿宋_GB2312" w:hAnsi="仿宋_GB2312" w:eastAsia="仿宋_GB2312" w:cs="仿宋_GB2312"/>
                <w:color w:val="auto"/>
                <w:sz w:val="18"/>
                <w:szCs w:val="18"/>
                <w:highlight w:val="none"/>
              </w:rPr>
            </w:pPr>
          </w:p>
          <w:p w14:paraId="6F15F8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5E2E3E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4744D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B0698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339DE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38AA2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ED40C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A4018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086DBDD">
            <w:pPr>
              <w:shd w:val="clear" w:color="auto" w:fill="FFFFFF"/>
              <w:adjustRightInd w:val="0"/>
              <w:snapToGrid w:val="0"/>
              <w:rPr>
                <w:rFonts w:hint="eastAsia" w:ascii="仿宋_GB2312" w:hAnsi="仿宋_GB2312" w:eastAsia="仿宋_GB2312" w:cs="仿宋_GB2312"/>
                <w:color w:val="auto"/>
                <w:sz w:val="18"/>
                <w:szCs w:val="18"/>
                <w:highlight w:val="none"/>
              </w:rPr>
            </w:pPr>
          </w:p>
          <w:p w14:paraId="56A831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36584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94254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B3F82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B074C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D171B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46DF7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DB13F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6092ACF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2CF2AB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4F410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6015E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2A51F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6E0F7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C0D3E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244EB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50F59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7D523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0F6D0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316A39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26AB8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9B287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791BB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3F5DB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E0E80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5FE90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363A6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779A4B1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39C8E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94B01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CEBD2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4AF69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CF8C4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D364D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2A0AC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CCC94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C92096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12155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7F02773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98F6C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541D3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04E49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B2B89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F5EC1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18E7A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911D1E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1F36C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51BB38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C193B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8DDF9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732F4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2209B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12793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1F2ED7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AD065F0">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3303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3CC098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36</w:t>
            </w:r>
          </w:p>
        </w:tc>
        <w:tc>
          <w:tcPr>
            <w:tcW w:w="608" w:type="dxa"/>
            <w:noWrap w:val="0"/>
            <w:vAlign w:val="center"/>
          </w:tcPr>
          <w:p w14:paraId="463F2001">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对擅自开垦林地行为的处罚</w:t>
            </w:r>
          </w:p>
        </w:tc>
        <w:tc>
          <w:tcPr>
            <w:tcW w:w="607" w:type="dxa"/>
            <w:noWrap w:val="0"/>
            <w:vAlign w:val="center"/>
          </w:tcPr>
          <w:p w14:paraId="375C5825">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FF6F7E6">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0222016000</w:t>
            </w:r>
          </w:p>
        </w:tc>
        <w:tc>
          <w:tcPr>
            <w:tcW w:w="1538" w:type="dxa"/>
            <w:noWrap w:val="0"/>
            <w:vAlign w:val="center"/>
          </w:tcPr>
          <w:p w14:paraId="6D59E90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【行政法规】《中华人民共和国森林法实施条例》（2018年国务院令第698号修改）</w:t>
            </w:r>
          </w:p>
          <w:p w14:paraId="51B28868">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一条第二款违反森林法和本条例规定，擅自开垦林地，致使森林、林木受到毁坏的，依照森林法第四十四条的规定予以处罚；对森林、林木未造成毁坏或者被开垦的林地上没有森林、林木的，由县级以上人民政府林业主管部门责令停止违法行为，限期恢复原状，可以处非法开垦林地每平方米10元以下的罚款。</w:t>
            </w:r>
          </w:p>
        </w:tc>
        <w:tc>
          <w:tcPr>
            <w:tcW w:w="607" w:type="dxa"/>
            <w:noWrap w:val="0"/>
            <w:vAlign w:val="center"/>
          </w:tcPr>
          <w:p w14:paraId="072D24EA">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对擅自开垦林地行为的处罚</w:t>
            </w:r>
          </w:p>
        </w:tc>
        <w:tc>
          <w:tcPr>
            <w:tcW w:w="1899" w:type="dxa"/>
            <w:noWrap w:val="0"/>
            <w:vAlign w:val="center"/>
          </w:tcPr>
          <w:p w14:paraId="487268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CB3FD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06D7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E3D0E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7E2CB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63253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53743D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1E82A8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E3D9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D7559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CAE51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6CDAB6BE">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90441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23600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03BF6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54BA49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93579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3831F5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E7D8B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676F7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2C6EA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61D8A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2856F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3B3D5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815AA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C0AB3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D5409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EEA97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43F3C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9BC83DE">
            <w:pPr>
              <w:shd w:val="clear" w:color="auto" w:fill="FFFFFF"/>
              <w:adjustRightInd w:val="0"/>
              <w:snapToGrid w:val="0"/>
              <w:rPr>
                <w:rFonts w:hint="eastAsia" w:ascii="仿宋_GB2312" w:hAnsi="仿宋_GB2312" w:eastAsia="仿宋_GB2312" w:cs="仿宋_GB2312"/>
                <w:color w:val="auto"/>
                <w:sz w:val="18"/>
                <w:szCs w:val="18"/>
                <w:highlight w:val="none"/>
              </w:rPr>
            </w:pPr>
          </w:p>
          <w:p w14:paraId="409E68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D6C5E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4E651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13E2E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3C86B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B2892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934CE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5AAF0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FB4997A">
            <w:pPr>
              <w:shd w:val="clear" w:color="auto" w:fill="FFFFFF"/>
              <w:adjustRightInd w:val="0"/>
              <w:snapToGrid w:val="0"/>
              <w:rPr>
                <w:rFonts w:hint="eastAsia" w:ascii="仿宋_GB2312" w:hAnsi="仿宋_GB2312" w:eastAsia="仿宋_GB2312" w:cs="仿宋_GB2312"/>
                <w:color w:val="auto"/>
                <w:sz w:val="18"/>
                <w:szCs w:val="18"/>
                <w:highlight w:val="none"/>
              </w:rPr>
            </w:pPr>
          </w:p>
          <w:p w14:paraId="169797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2B095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011EF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8AB72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34719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0635A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7E5EC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5B87C3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8629C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F8F72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7BC70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64263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A4A50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488A2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1A48C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8CEA6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28177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F7EA6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769B67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82329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46F45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5799F9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ED651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59AF9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8B7D2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E4E9B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72229AB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A049F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071D2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5C957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CE408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A09EA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E8701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E6954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5E5B8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5828DF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71E07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9422C6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1E03A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82BA3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E8D25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8B095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C59E9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A668E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8DC80D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777FF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17378C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1EB68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EAF4A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86E15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78D83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99FF9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6D42F6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0BB1BB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6E8E55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6F9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BAEC8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37</w:t>
            </w:r>
          </w:p>
        </w:tc>
        <w:tc>
          <w:tcPr>
            <w:tcW w:w="608" w:type="dxa"/>
            <w:noWrap w:val="0"/>
            <w:vAlign w:val="center"/>
          </w:tcPr>
          <w:p w14:paraId="346D10A5">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对擅自改变林地用途行为的处罚</w:t>
            </w:r>
          </w:p>
        </w:tc>
        <w:tc>
          <w:tcPr>
            <w:tcW w:w="607" w:type="dxa"/>
            <w:noWrap w:val="0"/>
            <w:vAlign w:val="center"/>
          </w:tcPr>
          <w:p w14:paraId="045B45C8">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361E0A1">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0222017000</w:t>
            </w:r>
          </w:p>
        </w:tc>
        <w:tc>
          <w:tcPr>
            <w:tcW w:w="1538" w:type="dxa"/>
            <w:noWrap w:val="0"/>
            <w:vAlign w:val="center"/>
          </w:tcPr>
          <w:p w14:paraId="311FE44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【行政法规】《中华人民共和国森林法实施条例》（2018年国务院令第698号修正）</w:t>
            </w:r>
          </w:p>
          <w:p w14:paraId="47F664BB">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第四十三条第一款未经县级以上人民政府林业主管部门审核同意，擅自改变林地用途的，由县级以上人民政府林业主管部门责令限期恢复原状，并处非法改变用途林地每平方米10元至30元的罚款。</w:t>
            </w:r>
          </w:p>
        </w:tc>
        <w:tc>
          <w:tcPr>
            <w:tcW w:w="607" w:type="dxa"/>
            <w:noWrap w:val="0"/>
            <w:vAlign w:val="center"/>
          </w:tcPr>
          <w:p w14:paraId="36B7F76F">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对擅自改变林地用途行为的处罚</w:t>
            </w:r>
          </w:p>
        </w:tc>
        <w:tc>
          <w:tcPr>
            <w:tcW w:w="1899" w:type="dxa"/>
            <w:noWrap w:val="0"/>
            <w:vAlign w:val="center"/>
          </w:tcPr>
          <w:p w14:paraId="3EDBAE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8C02A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36CC8C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011EC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1F0C0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2448E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18749A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488443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C4080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847B6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A9D70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C6776C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32F8A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C4FA8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791C9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E4CB1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0CA39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29AEA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A55A5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8CDF5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E5612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75E32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3918B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C2FBF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0F6A9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1485C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19D3D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76DAA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DC930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FB1F056">
            <w:pPr>
              <w:shd w:val="clear" w:color="auto" w:fill="FFFFFF"/>
              <w:adjustRightInd w:val="0"/>
              <w:snapToGrid w:val="0"/>
              <w:rPr>
                <w:rFonts w:hint="eastAsia" w:ascii="仿宋_GB2312" w:hAnsi="仿宋_GB2312" w:eastAsia="仿宋_GB2312" w:cs="仿宋_GB2312"/>
                <w:color w:val="auto"/>
                <w:sz w:val="18"/>
                <w:szCs w:val="18"/>
                <w:highlight w:val="none"/>
              </w:rPr>
            </w:pPr>
          </w:p>
          <w:p w14:paraId="527CBB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CAF9A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307E1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3CD2C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D7DF7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9A430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E982B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6F7EE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4CD200DF">
            <w:pPr>
              <w:shd w:val="clear" w:color="auto" w:fill="FFFFFF"/>
              <w:adjustRightInd w:val="0"/>
              <w:snapToGrid w:val="0"/>
              <w:rPr>
                <w:rFonts w:hint="eastAsia" w:ascii="仿宋_GB2312" w:hAnsi="仿宋_GB2312" w:eastAsia="仿宋_GB2312" w:cs="仿宋_GB2312"/>
                <w:color w:val="auto"/>
                <w:sz w:val="18"/>
                <w:szCs w:val="18"/>
                <w:highlight w:val="none"/>
              </w:rPr>
            </w:pPr>
          </w:p>
          <w:p w14:paraId="232F6A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BDFC7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D26D3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8B9F5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88446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072B7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EEB48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F34A3A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B0A00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6622F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20510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7D9A0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69675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5A612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16664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185A3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D5596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51B101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5DF94D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87CB1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DCF38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DF022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64110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912A5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D1E18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1712F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BBC4C1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C2171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5945E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F1C93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F6D2A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B0D0A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39700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1D136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76942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E0D0BB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4A568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F0C7D1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BA268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F0119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B8BEF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DFA5C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84B03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93AF3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D476AA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59FB8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BF5BFA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7A97D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47001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01BC1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EC7AE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23EC8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2C13C5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E7CCBF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28C2EB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3FD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93C84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38</w:t>
            </w:r>
          </w:p>
        </w:tc>
        <w:tc>
          <w:tcPr>
            <w:tcW w:w="608" w:type="dxa"/>
            <w:noWrap w:val="0"/>
            <w:vAlign w:val="center"/>
          </w:tcPr>
          <w:p w14:paraId="55E5EDA0">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对临时占用林地逾期不归还行为的处罚</w:t>
            </w:r>
          </w:p>
        </w:tc>
        <w:tc>
          <w:tcPr>
            <w:tcW w:w="607" w:type="dxa"/>
            <w:noWrap w:val="0"/>
            <w:vAlign w:val="center"/>
          </w:tcPr>
          <w:p w14:paraId="0185C9A7">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7EC6926">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0222018000</w:t>
            </w:r>
          </w:p>
        </w:tc>
        <w:tc>
          <w:tcPr>
            <w:tcW w:w="1538" w:type="dxa"/>
            <w:noWrap w:val="0"/>
            <w:vAlign w:val="center"/>
          </w:tcPr>
          <w:p w14:paraId="71B4BB4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【行政法规】《中华人民共和国森林法实施条例》（2018年国务院令第698号修正）</w:t>
            </w:r>
          </w:p>
          <w:p w14:paraId="137083C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第四十三条  未经县级以上人民政府林业主管部门审核同意，擅自改变林地用途的，由县级以上人民政府林业主管部门责令限期恢复原状，并处非法改变用途林地每平方米10元至30元的罚款。</w:t>
            </w:r>
          </w:p>
          <w:p w14:paraId="53FFAADE">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xml:space="preserve"> 临时占用林地，逾期不归还的，依照前款规定处罚。</w:t>
            </w:r>
          </w:p>
        </w:tc>
        <w:tc>
          <w:tcPr>
            <w:tcW w:w="607" w:type="dxa"/>
            <w:noWrap w:val="0"/>
            <w:vAlign w:val="center"/>
          </w:tcPr>
          <w:p w14:paraId="6B8B95F8">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对临时占用林地逾期不归还行为的处罚</w:t>
            </w:r>
          </w:p>
        </w:tc>
        <w:tc>
          <w:tcPr>
            <w:tcW w:w="1899" w:type="dxa"/>
            <w:noWrap w:val="0"/>
            <w:vAlign w:val="center"/>
          </w:tcPr>
          <w:p w14:paraId="3C7F2B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96570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5459A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334A3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3F19D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986A2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2DDB88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03C7EB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0F86F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C0682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C8236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64F400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92861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BCDD9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29312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49A5C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6B915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6D06E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522C2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24ABF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27E3F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0D540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F5A0A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0F131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C10B3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DEC23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B3CBF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71CEA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DC234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F8E4811">
            <w:pPr>
              <w:shd w:val="clear" w:color="auto" w:fill="FFFFFF"/>
              <w:adjustRightInd w:val="0"/>
              <w:snapToGrid w:val="0"/>
              <w:rPr>
                <w:rFonts w:hint="eastAsia" w:ascii="仿宋_GB2312" w:hAnsi="仿宋_GB2312" w:eastAsia="仿宋_GB2312" w:cs="仿宋_GB2312"/>
                <w:color w:val="auto"/>
                <w:sz w:val="18"/>
                <w:szCs w:val="18"/>
                <w:highlight w:val="none"/>
              </w:rPr>
            </w:pPr>
          </w:p>
          <w:p w14:paraId="1D8941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B60C7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DFD6F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A72F2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8D111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F5BDD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8E9E2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C9637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2D26809">
            <w:pPr>
              <w:shd w:val="clear" w:color="auto" w:fill="FFFFFF"/>
              <w:adjustRightInd w:val="0"/>
              <w:snapToGrid w:val="0"/>
              <w:rPr>
                <w:rFonts w:hint="eastAsia" w:ascii="仿宋_GB2312" w:hAnsi="仿宋_GB2312" w:eastAsia="仿宋_GB2312" w:cs="仿宋_GB2312"/>
                <w:color w:val="auto"/>
                <w:sz w:val="18"/>
                <w:szCs w:val="18"/>
                <w:highlight w:val="none"/>
              </w:rPr>
            </w:pPr>
          </w:p>
          <w:p w14:paraId="3567E3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336ED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FC7A6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6B2DE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A339C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9D6A4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3CBE1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9B2309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62D3C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7E2DA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68635B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87E63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2F464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06905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C71DD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1D4E1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B531C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A5599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840DD5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5A52C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2D5A1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2ED02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56886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7D253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04D3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B84F6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445BC1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04D13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5333A4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DBE36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0B862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4FF10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42028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3C919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CF210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57D489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686CC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08503A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34412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D3FE2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F0DA2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8B9FC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388DA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C1C2F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C58E9D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3EF97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0D3D85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8F535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F0704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8A5D5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2DA03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588AF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B1699A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0F75F4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F28ACB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B99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E4781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39</w:t>
            </w:r>
          </w:p>
        </w:tc>
        <w:tc>
          <w:tcPr>
            <w:tcW w:w="608" w:type="dxa"/>
            <w:noWrap w:val="0"/>
            <w:vAlign w:val="center"/>
          </w:tcPr>
          <w:p w14:paraId="089CE898">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对擅自将防护林和特种用途林改变为其他林种行为的处罚</w:t>
            </w:r>
          </w:p>
        </w:tc>
        <w:tc>
          <w:tcPr>
            <w:tcW w:w="607" w:type="dxa"/>
            <w:noWrap w:val="0"/>
            <w:vAlign w:val="center"/>
          </w:tcPr>
          <w:p w14:paraId="24E39615">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E15B3E9">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0222023000</w:t>
            </w:r>
          </w:p>
        </w:tc>
        <w:tc>
          <w:tcPr>
            <w:tcW w:w="1538" w:type="dxa"/>
            <w:noWrap w:val="0"/>
            <w:vAlign w:val="top"/>
          </w:tcPr>
          <w:p w14:paraId="2300214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【行政法规】《中华人民共和国森林法实施条例》（2018年国务院令第698号修正）　</w:t>
            </w:r>
          </w:p>
          <w:p w14:paraId="268EE510">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第四十六条　违反本条例规定，未经批准，擅自将防护林和特种用途林改变为其他林种的，由县级以上人民政府林业主管部门收回经营者所获取的森林生态效益补偿，并处所获取森林生态效益补偿3倍以下的罚款。</w:t>
            </w:r>
          </w:p>
        </w:tc>
        <w:tc>
          <w:tcPr>
            <w:tcW w:w="607" w:type="dxa"/>
            <w:noWrap w:val="0"/>
            <w:vAlign w:val="center"/>
          </w:tcPr>
          <w:p w14:paraId="52176507">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对擅自将防护林和特种用途林改变为其他林种行为的处罚</w:t>
            </w:r>
          </w:p>
        </w:tc>
        <w:tc>
          <w:tcPr>
            <w:tcW w:w="1899" w:type="dxa"/>
            <w:noWrap w:val="0"/>
            <w:vAlign w:val="center"/>
          </w:tcPr>
          <w:p w14:paraId="37A639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3A2E6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BC055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B38C1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36913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C77DD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9E53B3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2A460B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32299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02B17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7321C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E86AA2D">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D3CE5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CB036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65531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51DC8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4FB08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6D6D7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60C698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A2652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97BEC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6CA05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CD1F1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3A214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94861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6DAC8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55B0E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0830D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00F70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EAE983E">
            <w:pPr>
              <w:shd w:val="clear" w:color="auto" w:fill="FFFFFF"/>
              <w:adjustRightInd w:val="0"/>
              <w:snapToGrid w:val="0"/>
              <w:rPr>
                <w:rFonts w:hint="eastAsia" w:ascii="仿宋_GB2312" w:hAnsi="仿宋_GB2312" w:eastAsia="仿宋_GB2312" w:cs="仿宋_GB2312"/>
                <w:color w:val="auto"/>
                <w:sz w:val="18"/>
                <w:szCs w:val="18"/>
                <w:highlight w:val="none"/>
              </w:rPr>
            </w:pPr>
          </w:p>
          <w:p w14:paraId="00BDBB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6C718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477EF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F2FC6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DC9B9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8B6F3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222D5C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9F977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E4F249B">
            <w:pPr>
              <w:shd w:val="clear" w:color="auto" w:fill="FFFFFF"/>
              <w:adjustRightInd w:val="0"/>
              <w:snapToGrid w:val="0"/>
              <w:rPr>
                <w:rFonts w:hint="eastAsia" w:ascii="仿宋_GB2312" w:hAnsi="仿宋_GB2312" w:eastAsia="仿宋_GB2312" w:cs="仿宋_GB2312"/>
                <w:color w:val="auto"/>
                <w:sz w:val="18"/>
                <w:szCs w:val="18"/>
                <w:highlight w:val="none"/>
              </w:rPr>
            </w:pPr>
          </w:p>
          <w:p w14:paraId="62F441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B787E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8C92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B69CD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59A6A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DF7BC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03789B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634F23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4789E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9ACB5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8ABE1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ED4D3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B5D6F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816D5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CD9E2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9A2EC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1A200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233D7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46F7F62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25CED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DD304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3DA40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3F4DA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DC8D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AB10B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5408C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AC9D1A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BA643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A5FBD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9160E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8D008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6A2F6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93249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5251B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22EC6E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BDD852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7E16B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0330522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65C89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D460E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7C91E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9BDAE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B7914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FB68B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E3DF3C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2D53B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C71009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D41D9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8833A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489BD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B692F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1683A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CF08C3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62A84E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075512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16A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260C5C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40</w:t>
            </w:r>
          </w:p>
        </w:tc>
        <w:tc>
          <w:tcPr>
            <w:tcW w:w="608" w:type="dxa"/>
            <w:noWrap w:val="0"/>
            <w:vAlign w:val="center"/>
          </w:tcPr>
          <w:p w14:paraId="21044398">
            <w:pPr>
              <w:adjustRightInd w:val="0"/>
              <w:snapToGrid w:val="0"/>
              <w:rPr>
                <w:rFonts w:hint="eastAsia" w:ascii="仿宋_GB2312" w:hAnsi="仿宋_GB2312" w:eastAsia="仿宋_GB2312" w:cs="仿宋_GB2312"/>
                <w:color w:val="auto"/>
                <w:sz w:val="18"/>
                <w:szCs w:val="18"/>
                <w:highlight w:val="none"/>
              </w:rPr>
            </w:pPr>
          </w:p>
          <w:p w14:paraId="6BD3988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对以收容救护为名买卖野生动物及其制品行为的处罚</w:t>
            </w:r>
          </w:p>
          <w:p w14:paraId="44573B53">
            <w:pPr>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607" w:type="dxa"/>
            <w:noWrap w:val="0"/>
            <w:vAlign w:val="center"/>
          </w:tcPr>
          <w:p w14:paraId="64A259F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8084019">
            <w:pPr>
              <w:adjustRightInd w:val="0"/>
              <w:snapToGrid w:val="0"/>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0222024000</w:t>
            </w:r>
          </w:p>
          <w:p w14:paraId="0BECC867">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1538" w:type="dxa"/>
            <w:noWrap w:val="0"/>
            <w:vAlign w:val="top"/>
          </w:tcPr>
          <w:p w14:paraId="6CE8444C">
            <w:pPr>
              <w:adjustRightInd w:val="0"/>
              <w:snapToGrid w:val="0"/>
              <w:spacing w:line="26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24FB3C5C">
            <w:pPr>
              <w:autoSpaceDE w:val="0"/>
              <w:autoSpaceDN w:val="0"/>
              <w:adjustRightInd w:val="0"/>
              <w:spacing w:line="240" w:lineRule="exact"/>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lang w:val="en-US" w:eastAsia="zh-CN"/>
              </w:rPr>
              <w:t> 第四十四条　违反本法第十五条第三款规定，以收容救护为名买卖野生动物及其制品的，由县级以上人民政府野生动物保护主管部门没收野生动物及其制品、违法所得，并处野生动物及其制品价值二倍以上十倍以下的罚款，将有关违法信息记入社会诚信档案，向社会公布；构成犯罪的，依法追究刑事责任。</w:t>
            </w:r>
          </w:p>
        </w:tc>
        <w:tc>
          <w:tcPr>
            <w:tcW w:w="607" w:type="dxa"/>
            <w:noWrap w:val="0"/>
            <w:vAlign w:val="center"/>
          </w:tcPr>
          <w:p w14:paraId="313EAD08">
            <w:pPr>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对以收容救护为名买卖野生动物及其制品行为的处罚</w:t>
            </w:r>
          </w:p>
          <w:p w14:paraId="0EB25F6B">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1899" w:type="dxa"/>
            <w:noWrap w:val="0"/>
            <w:vAlign w:val="center"/>
          </w:tcPr>
          <w:p w14:paraId="3DC405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CE603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8BAA3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B5A21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A7992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A86BA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BD8F79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5AE8BA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ADAE1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37119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2B51B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3061738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4848A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44BFD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6B3F4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B885B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92A54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4E024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01791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64AFC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5D58F8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DCEA5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6DBFBA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B4DFB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C7BFD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E0A2F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5CD29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6243A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29ADA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EC1C744">
            <w:pPr>
              <w:shd w:val="clear" w:color="auto" w:fill="FFFFFF"/>
              <w:adjustRightInd w:val="0"/>
              <w:snapToGrid w:val="0"/>
              <w:rPr>
                <w:rFonts w:hint="eastAsia" w:ascii="仿宋_GB2312" w:hAnsi="仿宋_GB2312" w:eastAsia="仿宋_GB2312" w:cs="仿宋_GB2312"/>
                <w:color w:val="auto"/>
                <w:sz w:val="18"/>
                <w:szCs w:val="18"/>
                <w:highlight w:val="none"/>
              </w:rPr>
            </w:pPr>
          </w:p>
          <w:p w14:paraId="0E84FD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5F6A01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8E026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9D633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EA250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A7C0C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2139B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D6E1C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497F81F">
            <w:pPr>
              <w:shd w:val="clear" w:color="auto" w:fill="FFFFFF"/>
              <w:adjustRightInd w:val="0"/>
              <w:snapToGrid w:val="0"/>
              <w:rPr>
                <w:rFonts w:hint="eastAsia" w:ascii="仿宋_GB2312" w:hAnsi="仿宋_GB2312" w:eastAsia="仿宋_GB2312" w:cs="仿宋_GB2312"/>
                <w:color w:val="auto"/>
                <w:sz w:val="18"/>
                <w:szCs w:val="18"/>
                <w:highlight w:val="none"/>
              </w:rPr>
            </w:pPr>
          </w:p>
          <w:p w14:paraId="3D8ABF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90643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BC078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F314C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7183A5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267DF6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8DEAB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25FE98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22135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3C97B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A75E4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1F543D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3A276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454CE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441CE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53E6CB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2BD57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9EB1B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2DADB5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7F6B5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E9A4F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5F9C53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F6C6B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01FC3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B48B2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A13C8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E6465B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6B0D8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1CB86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0AB6B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43128C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858FC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3857B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214C2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F34CD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278D02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BFDCB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DC649B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FA56C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A24AE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B7CAC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5C3B3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AA1F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FB6A7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8FCD9A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85C8F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34F9C0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85894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7CF7E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6F02E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6BF34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00443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380175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2C5C39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324404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856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EA24D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41</w:t>
            </w:r>
          </w:p>
        </w:tc>
        <w:tc>
          <w:tcPr>
            <w:tcW w:w="608" w:type="dxa"/>
            <w:noWrap w:val="0"/>
            <w:vAlign w:val="center"/>
          </w:tcPr>
          <w:p w14:paraId="3994750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对非法猎捕、杀害国家重点保护野生动物的处罚</w:t>
            </w:r>
          </w:p>
          <w:p w14:paraId="247A7A6F">
            <w:pPr>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607" w:type="dxa"/>
            <w:noWrap w:val="0"/>
            <w:vAlign w:val="center"/>
          </w:tcPr>
          <w:p w14:paraId="2C38F96E">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DA1A9F7">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0222025000</w:t>
            </w:r>
          </w:p>
        </w:tc>
        <w:tc>
          <w:tcPr>
            <w:tcW w:w="1538" w:type="dxa"/>
            <w:noWrap w:val="0"/>
            <w:vAlign w:val="top"/>
          </w:tcPr>
          <w:p w14:paraId="3E3C0D54">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【法律】《中华人民共和国野生动物保护法》（2018年修订）</w:t>
            </w:r>
          </w:p>
          <w:p w14:paraId="4AE46F8B">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第二十条　在相关自然保护区域和禁猎（渔）区、禁猎（渔）期内，禁止猎捕以及其他妨碍野生动物生息繁衍的活动，但法律法规另有规定的除外。</w:t>
            </w:r>
          </w:p>
          <w:p w14:paraId="72FBCE00">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野生动物迁徙洄游期间，在前款规定区域外的迁徙洄游通道内，禁止猎捕并严格限制其他妨碍野生动物生息繁衍的活动。迁徙洄游通道的范围以及妨碍野生动物生息繁衍活动的内容，由县级以上人民政府或者其野生动物保护主管部门规定并公布。</w:t>
            </w:r>
          </w:p>
          <w:p w14:paraId="77A6E19F">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 </w:t>
            </w:r>
            <w:r>
              <w:rPr>
                <w:rFonts w:hint="eastAsia" w:ascii="仿宋_GB2312" w:hAnsi="仿宋_GB2312" w:eastAsia="仿宋_GB2312" w:cs="仿宋_GB2312"/>
                <w:color w:val="auto"/>
                <w:kern w:val="2"/>
                <w:sz w:val="18"/>
                <w:szCs w:val="18"/>
                <w:highlight w:val="none"/>
                <w:lang w:val="en-US" w:eastAsia="zh-CN"/>
              </w:rPr>
              <w:t>第二十一条　禁止猎捕、杀害国家重点保护野生动物。</w:t>
            </w:r>
          </w:p>
          <w:p w14:paraId="4262E438">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 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14:paraId="39B32D78">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第二十三条第一款  猎捕者应当按照特许猎捕证、狩猎证规定的种类、数量、地点、工具、方法和期限进行猎捕。</w:t>
            </w:r>
          </w:p>
          <w:p w14:paraId="0A1965D1">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第二十四条第一款  禁止使用毒药、爆炸物、电击或者电子诱捕装置以及猎套、猎夹、地枪、排铳等工具进行猎捕，禁止使用夜间照明行猎、歼灭性围猎、捣毁巢穴、火攻、烟熏、网捕等方法进行猎捕，但因科学研究确需网捕、电子诱捕的除外。</w:t>
            </w:r>
          </w:p>
          <w:p w14:paraId="375F532F">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lang w:val="en-US" w:eastAsia="zh-CN"/>
              </w:rPr>
              <w:t>第四十五条　违反本法第二十条、第二十一条、第二十三条第一款、第二十四条第一款规定，在相关自然保护区域、禁猎（渔）区、禁猎（渔）期猎捕国家重点保护野生动物，未取得特许猎捕证、未按照特许猎捕证规定猎捕、杀害国家重点保护野生动物，或者使用禁用的工具、方法猎捕国家重点保护野生动物的，由县级以上人民政府野生动物保护主管部门、海洋执法部门或者有关保护区域管理机构按照职责分工没收猎获物、猎捕工具和违法所得，吊销特许猎捕证，并处猎获物价值二倍以上十倍以下的罚款；没有猎获物的，并处一万元以上五万元以下的罚款；构成犯罪的，依法追究刑事责任。</w:t>
            </w:r>
          </w:p>
        </w:tc>
        <w:tc>
          <w:tcPr>
            <w:tcW w:w="607" w:type="dxa"/>
            <w:noWrap w:val="0"/>
            <w:vAlign w:val="center"/>
          </w:tcPr>
          <w:p w14:paraId="7448B872">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对非法猎捕、杀害国家重点保护野生动物行为的处罚</w:t>
            </w:r>
          </w:p>
        </w:tc>
        <w:tc>
          <w:tcPr>
            <w:tcW w:w="1899" w:type="dxa"/>
            <w:noWrap w:val="0"/>
            <w:vAlign w:val="center"/>
          </w:tcPr>
          <w:p w14:paraId="26ABFB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7DE408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B1FBA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3DE32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48200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9ABD5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BCFA47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10D203E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B5043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5CF9B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E0F05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D9F59C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FAF4E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DA7BA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391A8E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04B3C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8D1C0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1DA83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671706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53F1E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46CCFF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676C1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137EC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54336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9FF58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2B02F4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D1483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0394C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907DC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71AE9C5">
            <w:pPr>
              <w:shd w:val="clear" w:color="auto" w:fill="FFFFFF"/>
              <w:adjustRightInd w:val="0"/>
              <w:snapToGrid w:val="0"/>
              <w:rPr>
                <w:rFonts w:hint="eastAsia" w:ascii="仿宋_GB2312" w:hAnsi="仿宋_GB2312" w:eastAsia="仿宋_GB2312" w:cs="仿宋_GB2312"/>
                <w:color w:val="auto"/>
                <w:sz w:val="18"/>
                <w:szCs w:val="18"/>
                <w:highlight w:val="none"/>
              </w:rPr>
            </w:pPr>
          </w:p>
          <w:p w14:paraId="75113D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2CCE6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8F77C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532FF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D2D34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81808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22416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C0CB0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5CC2B85">
            <w:pPr>
              <w:shd w:val="clear" w:color="auto" w:fill="FFFFFF"/>
              <w:adjustRightInd w:val="0"/>
              <w:snapToGrid w:val="0"/>
              <w:rPr>
                <w:rFonts w:hint="eastAsia" w:ascii="仿宋_GB2312" w:hAnsi="仿宋_GB2312" w:eastAsia="仿宋_GB2312" w:cs="仿宋_GB2312"/>
                <w:color w:val="auto"/>
                <w:sz w:val="18"/>
                <w:szCs w:val="18"/>
                <w:highlight w:val="none"/>
              </w:rPr>
            </w:pPr>
          </w:p>
          <w:p w14:paraId="0055B8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DAD6D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A991B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63819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D60C0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B3629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9120D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32FA39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7D23D8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E95DF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66867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3BC8C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16884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EB03F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C7474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82DB8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541902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123A7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4F8E88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8DA12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5970B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F6DA6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08BCE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985A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DE5F4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36C4B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37EE8B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71C1E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04E3DB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979D2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B4E7C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D5399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80BDA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4B613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DBC46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9218B4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9C90D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BB73FD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6E3493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64011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DB076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062D4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B71FF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07E95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4E9A69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DDCFA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8271F6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02218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CE184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1D671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C5CC9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C42F1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CA0491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5C59AC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53D799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AA2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89426D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42</w:t>
            </w:r>
          </w:p>
        </w:tc>
        <w:tc>
          <w:tcPr>
            <w:tcW w:w="608" w:type="dxa"/>
            <w:noWrap w:val="0"/>
            <w:vAlign w:val="center"/>
          </w:tcPr>
          <w:p w14:paraId="50244526">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对非法猎捕非国家重点保护野生动物行为的处罚</w:t>
            </w:r>
          </w:p>
        </w:tc>
        <w:tc>
          <w:tcPr>
            <w:tcW w:w="607" w:type="dxa"/>
            <w:noWrap w:val="0"/>
            <w:vAlign w:val="center"/>
          </w:tcPr>
          <w:p w14:paraId="021B4FF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92A7C30">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0222026000</w:t>
            </w:r>
          </w:p>
        </w:tc>
        <w:tc>
          <w:tcPr>
            <w:tcW w:w="1538" w:type="dxa"/>
            <w:noWrap w:val="0"/>
            <w:vAlign w:val="top"/>
          </w:tcPr>
          <w:p w14:paraId="6D9BCAB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306F5B27">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第二十条　在相关自然保护区域和禁猎（渔）区、禁猎（渔）期内，禁止猎捕以及其他妨碍野生动物生息繁衍的活动，但法律法规另有规定的除外。</w:t>
            </w:r>
          </w:p>
          <w:p w14:paraId="3D294CC6">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野生动物迁徙洄游期间，在前款规定区域外的迁徙洄游通道内，禁止猎捕并严格限制其他妨碍野生动物生息繁衍的活动。迁徙洄游通道的范围以及妨碍野生动物生息繁衍活动的内容，由县级以上人民政府或者其野生动物保护主管部门规定并公布。</w:t>
            </w:r>
          </w:p>
          <w:p w14:paraId="2DB7DD4D">
            <w:pPr>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第二十二条　猎捕非国家重点保护野生动物的，应当依法取得县级以上地方人民政府野生动物保护主管部门核发的狩猎证，并且服从猎捕量限额管理。</w:t>
            </w:r>
          </w:p>
          <w:p w14:paraId="6CA44C1A">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第二十三条第一款  猎捕者应当按照特许猎捕证、狩猎证规定的种类、数量、地点、工具、方法和期限进行猎捕。</w:t>
            </w:r>
          </w:p>
          <w:p w14:paraId="302E5C1B">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第二十四条第一款  禁止使用毒药、爆炸物、电击或者电子诱捕装置以及猎套、猎夹、地枪、排铳等工具进行猎捕，禁止使用夜间照明行猎、歼灭性围猎、捣毁巢穴、火攻、烟熏、网捕等方法进行猎捕，但因科学研究确需网捕、电子诱捕的除外。</w:t>
            </w:r>
          </w:p>
          <w:p w14:paraId="450F831F">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lang w:val="en-US" w:eastAsia="zh-CN"/>
              </w:rPr>
              <w:t>第四十六条　违反本法第二十条、第二十二条、第二十三条第一款、第二十四条第一款规定，在相关自然保护区域、禁猎（渔）区、禁猎（渔）期猎捕非国家重点保护野生动物，未取得狩猎证、未按照狩猎证规定猎捕非国家重点保护野生动物，或者使用禁用的工具、方法猎捕非国家重点保护野生动物的，由县级以上地方人民政府野生动物保护主管部门或者有关保护区域管理机构按照职责分工没收猎获物、猎捕工具和违法所得，吊销狩猎证，并处猎获物价值一倍以上五倍以下的罚款；没有猎获物的，并处二千元以上一万元以下的罚款；构成犯罪的，依法追究刑事责任。</w:t>
            </w:r>
          </w:p>
        </w:tc>
        <w:tc>
          <w:tcPr>
            <w:tcW w:w="607" w:type="dxa"/>
            <w:noWrap w:val="0"/>
            <w:vAlign w:val="center"/>
          </w:tcPr>
          <w:p w14:paraId="09126DAA">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对非法猎捕非国家重点保护野生动物行为的处罚</w:t>
            </w:r>
          </w:p>
        </w:tc>
        <w:tc>
          <w:tcPr>
            <w:tcW w:w="1899" w:type="dxa"/>
            <w:noWrap w:val="0"/>
            <w:vAlign w:val="center"/>
          </w:tcPr>
          <w:p w14:paraId="7E10B2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29D98C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0952B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BAE2B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9E1E1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CA175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50A7E2A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647837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30135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06EF3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0B91C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D024120">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8E39F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E1848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9344B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FB243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3AFF7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E53B5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532CD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8DF10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8EF03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7C4D5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C410E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2F506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448D1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13967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2A487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F9940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57A22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338526A">
            <w:pPr>
              <w:shd w:val="clear" w:color="auto" w:fill="FFFFFF"/>
              <w:adjustRightInd w:val="0"/>
              <w:snapToGrid w:val="0"/>
              <w:rPr>
                <w:rFonts w:hint="eastAsia" w:ascii="仿宋_GB2312" w:hAnsi="仿宋_GB2312" w:eastAsia="仿宋_GB2312" w:cs="仿宋_GB2312"/>
                <w:color w:val="auto"/>
                <w:sz w:val="18"/>
                <w:szCs w:val="18"/>
                <w:highlight w:val="none"/>
              </w:rPr>
            </w:pPr>
          </w:p>
          <w:p w14:paraId="106315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A5126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FB7E1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9391F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0035AB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C5CB8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5AFBA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F2755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127BD57">
            <w:pPr>
              <w:shd w:val="clear" w:color="auto" w:fill="FFFFFF"/>
              <w:adjustRightInd w:val="0"/>
              <w:snapToGrid w:val="0"/>
              <w:rPr>
                <w:rFonts w:hint="eastAsia" w:ascii="仿宋_GB2312" w:hAnsi="仿宋_GB2312" w:eastAsia="仿宋_GB2312" w:cs="仿宋_GB2312"/>
                <w:color w:val="auto"/>
                <w:sz w:val="18"/>
                <w:szCs w:val="18"/>
                <w:highlight w:val="none"/>
              </w:rPr>
            </w:pPr>
          </w:p>
          <w:p w14:paraId="1A7B44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C48DA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99ECA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36723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55D5F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1F2E0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0D0B55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810ED0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56554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8DECA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EE214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F07D3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5CFD4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E6DB2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9D8A6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8AF79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3AC07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3FB01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215C9E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C36B6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AD31A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296AA9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55E65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44955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75BD9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DE12C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FCC89F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31D7C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7033D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48E82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C98FA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C0336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4EBB7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7C524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46690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E71255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B6B17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905CE4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A566E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63272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00871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BBA69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33D98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0FC4B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B16670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09FCA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D9E4E6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22982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1F720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FCE40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FBF38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DE33C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2462B7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122D68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1320A3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77B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CC189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43</w:t>
            </w:r>
          </w:p>
        </w:tc>
        <w:tc>
          <w:tcPr>
            <w:tcW w:w="608" w:type="dxa"/>
            <w:noWrap w:val="0"/>
            <w:vAlign w:val="center"/>
          </w:tcPr>
          <w:p w14:paraId="5EC08FE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对非法人工繁育国家重点保护野生动物行为的处罚</w:t>
            </w:r>
          </w:p>
          <w:p w14:paraId="4D5791ED">
            <w:pPr>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607" w:type="dxa"/>
            <w:noWrap w:val="0"/>
            <w:vAlign w:val="center"/>
          </w:tcPr>
          <w:p w14:paraId="0583C2D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668439F">
            <w:pPr>
              <w:adjustRightInd w:val="0"/>
              <w:snapToGrid w:val="0"/>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0222027000</w:t>
            </w:r>
          </w:p>
          <w:p w14:paraId="4F741B56">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1538" w:type="dxa"/>
            <w:noWrap w:val="0"/>
            <w:vAlign w:val="top"/>
          </w:tcPr>
          <w:p w14:paraId="05EF06F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29BCD061">
            <w:pPr>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sz w:val="18"/>
                <w:szCs w:val="18"/>
                <w:highlight w:val="none"/>
              </w:rPr>
              <w:t xml:space="preserve">第二十五条第二款  </w:t>
            </w:r>
            <w:r>
              <w:rPr>
                <w:rFonts w:hint="eastAsia" w:ascii="仿宋_GB2312" w:hAnsi="仿宋_GB2312" w:eastAsia="仿宋_GB2312" w:cs="仿宋_GB2312"/>
                <w:color w:val="auto"/>
                <w:kern w:val="2"/>
                <w:sz w:val="18"/>
                <w:szCs w:val="18"/>
                <w:highlight w:val="none"/>
                <w:lang w:val="en-US" w:eastAsia="zh-CN"/>
              </w:rPr>
              <w:t>前款规定以外的人工繁育国家重点保护野生动物实行许可制度。人工繁育国家重点保护野生动物的，应当经省、自治区、直辖市人民政府野生动物保护主管部门批准，取得人工繁育许可证，但国务院对批准机关另有规定的除外。</w:t>
            </w:r>
          </w:p>
          <w:p w14:paraId="0146D4EF">
            <w:pPr>
              <w:pStyle w:val="4"/>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对本法第十条规定的国家重点保护野生动物名录进行调整时，根据有关野外种群保护情况，可以对前款规定的有关人工繁育技术成熟稳定野生动物的人工种群，不再列入国家重点保护野生动物名录，实行与野外种群不同的管理措施，但应当依照本法第二十五条第二款和本条第一款的规定取得人工繁育许可证和专用标识。</w:t>
            </w:r>
          </w:p>
          <w:p w14:paraId="09BE4AD1">
            <w:pPr>
              <w:pStyle w:val="4"/>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lang w:val="en-US" w:eastAsia="zh-CN"/>
              </w:rPr>
              <w:t> 第四十七条　违反本法第二十五条第二款规定，未取得人工繁育许可证繁育国家重点保护野生动物或者本法第二十八条第二款规定的野生动物的，由县级以上人民政府野生动物保护主管部门没收野生动物及其制品，并处野生动物及其制品价值一倍以上五倍以下的罚款。</w:t>
            </w:r>
          </w:p>
        </w:tc>
        <w:tc>
          <w:tcPr>
            <w:tcW w:w="607" w:type="dxa"/>
            <w:noWrap w:val="0"/>
            <w:vAlign w:val="center"/>
          </w:tcPr>
          <w:p w14:paraId="6C669975">
            <w:pPr>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对非法人工繁育国家重点保护野生动物行为的处罚</w:t>
            </w:r>
          </w:p>
          <w:p w14:paraId="0228F2EE">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1899" w:type="dxa"/>
            <w:noWrap w:val="0"/>
            <w:vAlign w:val="center"/>
          </w:tcPr>
          <w:p w14:paraId="2BD356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1C002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316DE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476B6D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9EC98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666C7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DD3A85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DB5918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27C25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246F6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066F4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B1AA2DD">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AF6F9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F9C8B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7583F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FCB2F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80DA1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415F9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6B131D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EA640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B031D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0019C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7D854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0A914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2641C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D61D9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10F3E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6984D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2FA048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E5CEBD5">
            <w:pPr>
              <w:shd w:val="clear" w:color="auto" w:fill="FFFFFF"/>
              <w:adjustRightInd w:val="0"/>
              <w:snapToGrid w:val="0"/>
              <w:rPr>
                <w:rFonts w:hint="eastAsia" w:ascii="仿宋_GB2312" w:hAnsi="仿宋_GB2312" w:eastAsia="仿宋_GB2312" w:cs="仿宋_GB2312"/>
                <w:color w:val="auto"/>
                <w:sz w:val="18"/>
                <w:szCs w:val="18"/>
                <w:highlight w:val="none"/>
              </w:rPr>
            </w:pPr>
          </w:p>
          <w:p w14:paraId="7A9B7A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7B10D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AC521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FAA6B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1E6EC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FAE74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D9386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C38C7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058E6E2">
            <w:pPr>
              <w:shd w:val="clear" w:color="auto" w:fill="FFFFFF"/>
              <w:adjustRightInd w:val="0"/>
              <w:snapToGrid w:val="0"/>
              <w:rPr>
                <w:rFonts w:hint="eastAsia" w:ascii="仿宋_GB2312" w:hAnsi="仿宋_GB2312" w:eastAsia="仿宋_GB2312" w:cs="仿宋_GB2312"/>
                <w:color w:val="auto"/>
                <w:sz w:val="18"/>
                <w:szCs w:val="18"/>
                <w:highlight w:val="none"/>
              </w:rPr>
            </w:pPr>
          </w:p>
          <w:p w14:paraId="029DBF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84168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67223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09A268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E9442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0CC1B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10A76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DF417C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08553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D437D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CA299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F79B5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25479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E8609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D9878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55518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7DFE9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A1153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4B8C133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FB8F0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047CB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780D8A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988D0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74CA3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37DB2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94DBA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48F44B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C305F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2B009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96969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3AB60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6644C9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D4074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0935D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683B5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C119EA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11443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A9F8E2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74A2B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F74EB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7F8E5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3A9E9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4E959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04A27B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E509FC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3161B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49244B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E36D5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A4BF0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15D4A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4F4F9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F3DF9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C9A038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F7EF01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5A585F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0A3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50AD8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44</w:t>
            </w:r>
          </w:p>
        </w:tc>
        <w:tc>
          <w:tcPr>
            <w:tcW w:w="608" w:type="dxa"/>
            <w:noWrap w:val="0"/>
            <w:vAlign w:val="center"/>
          </w:tcPr>
          <w:p w14:paraId="429AEC70">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对非法出售、购买、利用、运输、携带、寄递国家重点保护野生动物及其制品行为的处罚</w:t>
            </w:r>
          </w:p>
        </w:tc>
        <w:tc>
          <w:tcPr>
            <w:tcW w:w="607" w:type="dxa"/>
            <w:noWrap w:val="0"/>
            <w:vAlign w:val="center"/>
          </w:tcPr>
          <w:p w14:paraId="51E369A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FA19C61">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0222028000</w:t>
            </w:r>
          </w:p>
        </w:tc>
        <w:tc>
          <w:tcPr>
            <w:tcW w:w="1538" w:type="dxa"/>
            <w:noWrap w:val="0"/>
            <w:vAlign w:val="top"/>
          </w:tcPr>
          <w:p w14:paraId="591A5BC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5E1CFAA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第二十七条 禁止出售、购买、利用国家重点保护野生动物及其制品。</w:t>
            </w:r>
          </w:p>
          <w:p w14:paraId="26B22C6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14:paraId="6095C64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第二十八条</w:t>
            </w:r>
            <w:r>
              <w:rPr>
                <w:rFonts w:hint="eastAsia" w:ascii="仿宋_GB2312" w:hAnsi="仿宋_GB2312" w:eastAsia="仿宋_GB2312" w:cs="仿宋_GB2312"/>
                <w:color w:val="auto"/>
                <w:sz w:val="18"/>
                <w:szCs w:val="18"/>
                <w:highlight w:val="none"/>
                <w:lang w:eastAsia="zh-CN"/>
              </w:rPr>
              <w:t>第一款</w:t>
            </w:r>
            <w:r>
              <w:rPr>
                <w:rFonts w:hint="eastAsia" w:ascii="仿宋_GB2312" w:hAnsi="仿宋_GB2312" w:eastAsia="仿宋_GB2312" w:cs="仿宋_GB2312"/>
                <w:color w:val="auto"/>
                <w:sz w:val="18"/>
                <w:szCs w:val="18"/>
                <w:highlight w:val="none"/>
              </w:rPr>
              <w:t xml:space="preserve"> 对人工繁育技术成熟稳定的国家重点保护野生动物，经科学论证，纳入国务院野生动物保护主管部门制定的人工繁育国家重点保护野生动物名录。对列入名录的野生动物及其制品，可以凭人工繁育许可证，按照省、自治区、直辖市人民政府野生动物保护主管部门核验的年度生产数量直接取得专用标识，凭专用标识出售和利用，保证可追溯。</w:t>
            </w:r>
          </w:p>
          <w:p w14:paraId="1936E5C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第三十三条 运输、携带、寄递国家重点保护野生动物及其制品、本法第二十八条第二款规定的野生动物及其制品出县境的，应当持有或者附有本法第二十一条、第二十五条、第二十七条或者第二十八条规定的许可证、批准文件的副本或者专用标识，以及检疫证明。</w:t>
            </w:r>
          </w:p>
          <w:p w14:paraId="361CA479">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lang w:val="en-US" w:eastAsia="zh-CN"/>
              </w:rPr>
              <w:t> 第四十八条　违反本法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w:t>
            </w:r>
          </w:p>
        </w:tc>
        <w:tc>
          <w:tcPr>
            <w:tcW w:w="607" w:type="dxa"/>
            <w:noWrap w:val="0"/>
            <w:vAlign w:val="center"/>
          </w:tcPr>
          <w:p w14:paraId="379915D9">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对非法出售、购买、利用、运输、携带、寄递国家重点保护野生动物及其制品行为的处罚</w:t>
            </w:r>
          </w:p>
        </w:tc>
        <w:tc>
          <w:tcPr>
            <w:tcW w:w="1899" w:type="dxa"/>
            <w:noWrap w:val="0"/>
            <w:vAlign w:val="center"/>
          </w:tcPr>
          <w:p w14:paraId="752174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23721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926D8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1FAEA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74FD3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606E8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C8EAB5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028F45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8DDB0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2C576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64335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9CF6E8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CE73B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1DBC6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E0A53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A9612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2F976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EE33A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EBB57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53EDA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1EA8C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E4DC7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7DB1C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46A2C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087D6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22F36B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A4D8E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AFB02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0F221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BAC48C4">
            <w:pPr>
              <w:shd w:val="clear" w:color="auto" w:fill="FFFFFF"/>
              <w:adjustRightInd w:val="0"/>
              <w:snapToGrid w:val="0"/>
              <w:rPr>
                <w:rFonts w:hint="eastAsia" w:ascii="仿宋_GB2312" w:hAnsi="仿宋_GB2312" w:eastAsia="仿宋_GB2312" w:cs="仿宋_GB2312"/>
                <w:color w:val="auto"/>
                <w:sz w:val="18"/>
                <w:szCs w:val="18"/>
                <w:highlight w:val="none"/>
              </w:rPr>
            </w:pPr>
          </w:p>
          <w:p w14:paraId="56A62C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593A4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3AD47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0D2B5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F8030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73273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7A8FB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518F5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F096F65">
            <w:pPr>
              <w:shd w:val="clear" w:color="auto" w:fill="FFFFFF"/>
              <w:adjustRightInd w:val="0"/>
              <w:snapToGrid w:val="0"/>
              <w:rPr>
                <w:rFonts w:hint="eastAsia" w:ascii="仿宋_GB2312" w:hAnsi="仿宋_GB2312" w:eastAsia="仿宋_GB2312" w:cs="仿宋_GB2312"/>
                <w:color w:val="auto"/>
                <w:sz w:val="18"/>
                <w:szCs w:val="18"/>
                <w:highlight w:val="none"/>
              </w:rPr>
            </w:pPr>
          </w:p>
          <w:p w14:paraId="3E2B8A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C99A2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E9AC5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46283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D394C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4D88F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67B01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557D81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817DA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DA4DB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F9E7F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3856DE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9C256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2D35F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726E1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9D656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70D9D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18F3D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9859F7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71F40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9F607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674E9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E437D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D8617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5D429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DA651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7C9A8C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A953F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7A02D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E7DF0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9AB6A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07029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A075F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17762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A4310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488FED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53689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1148C9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DBEA4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8FC97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C5558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57198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AA463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0473E8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76FA9E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1135E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7E2AF0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60F86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5AA8A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074EE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2D154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22E4F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7004A8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507EA4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A0F086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8EF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4E90A74">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45</w:t>
            </w:r>
          </w:p>
        </w:tc>
        <w:tc>
          <w:tcPr>
            <w:tcW w:w="608" w:type="dxa"/>
            <w:noWrap w:val="0"/>
            <w:vAlign w:val="center"/>
          </w:tcPr>
          <w:p w14:paraId="6E1DB213">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对出售、利用、运输非国家重点保护野生动物行为的处罚</w:t>
            </w:r>
          </w:p>
        </w:tc>
        <w:tc>
          <w:tcPr>
            <w:tcW w:w="607" w:type="dxa"/>
            <w:noWrap w:val="0"/>
            <w:vAlign w:val="center"/>
          </w:tcPr>
          <w:p w14:paraId="57063F9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96C8671">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0222029000</w:t>
            </w:r>
          </w:p>
        </w:tc>
        <w:tc>
          <w:tcPr>
            <w:tcW w:w="1538" w:type="dxa"/>
            <w:noWrap w:val="0"/>
            <w:vAlign w:val="top"/>
          </w:tcPr>
          <w:p w14:paraId="27D910C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3855223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第二十七条第四款出售、利用非国家重点保护野生动物的，应当提供狩猎、进出口等合法来源证明。</w:t>
            </w:r>
          </w:p>
          <w:p w14:paraId="6703CAA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第三十三条第二款运输非国家重点保护野生动物出县境的，应当持有狩猎、进出口等合法来源证明，以及检疫证明。</w:t>
            </w:r>
          </w:p>
          <w:p w14:paraId="5EA08438">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八条第二款违反本法第二十七条第四款、第三十三条第二款规定，未持有合法来源证明出售、利用、运输非国家重点保护野生动物的，由县级以上地方人民政府野生动物保护主管部门或者工商行政管理部门按照职责分工没收野生动物，并处野生动物价值一倍以上五倍以下的罚款。</w:t>
            </w:r>
          </w:p>
        </w:tc>
        <w:tc>
          <w:tcPr>
            <w:tcW w:w="607" w:type="dxa"/>
            <w:noWrap w:val="0"/>
            <w:vAlign w:val="center"/>
          </w:tcPr>
          <w:p w14:paraId="711B7043">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对出售、利用、运输非国家重点保护野生动物行为的处罚</w:t>
            </w:r>
          </w:p>
        </w:tc>
        <w:tc>
          <w:tcPr>
            <w:tcW w:w="1899" w:type="dxa"/>
            <w:noWrap w:val="0"/>
            <w:vAlign w:val="center"/>
          </w:tcPr>
          <w:p w14:paraId="266C69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57229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595C5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332CA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6B440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31B49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A0C4FB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88CA6A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F169B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A687A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BBA08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89B700C">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1AF55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DEBD6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6A714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92A37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FF337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63D71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3F7C2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A058E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F40A4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2C092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DF84D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46883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08C03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D3D1D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AF902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7BF6E5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14ADE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CAD5A53">
            <w:pPr>
              <w:shd w:val="clear" w:color="auto" w:fill="FFFFFF"/>
              <w:adjustRightInd w:val="0"/>
              <w:snapToGrid w:val="0"/>
              <w:rPr>
                <w:rFonts w:hint="eastAsia" w:ascii="仿宋_GB2312" w:hAnsi="仿宋_GB2312" w:eastAsia="仿宋_GB2312" w:cs="仿宋_GB2312"/>
                <w:color w:val="auto"/>
                <w:sz w:val="18"/>
                <w:szCs w:val="18"/>
                <w:highlight w:val="none"/>
              </w:rPr>
            </w:pPr>
          </w:p>
          <w:p w14:paraId="3BFBB5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33D61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1C7B4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96D40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1CE67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2D31B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A2818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E500E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FA259C1">
            <w:pPr>
              <w:shd w:val="clear" w:color="auto" w:fill="FFFFFF"/>
              <w:adjustRightInd w:val="0"/>
              <w:snapToGrid w:val="0"/>
              <w:rPr>
                <w:rFonts w:hint="eastAsia" w:ascii="仿宋_GB2312" w:hAnsi="仿宋_GB2312" w:eastAsia="仿宋_GB2312" w:cs="仿宋_GB2312"/>
                <w:color w:val="auto"/>
                <w:sz w:val="18"/>
                <w:szCs w:val="18"/>
                <w:highlight w:val="none"/>
              </w:rPr>
            </w:pPr>
          </w:p>
          <w:p w14:paraId="085AFA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029E6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015FE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20D69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3E0FC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40DF4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D8889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FAD9A3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FF048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FEB37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D5721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C1B59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91C79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398D9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8000E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D7B00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F3B5A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37EFA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C92F8C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37196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83DF0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16998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8F8CE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0FEB0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F4309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BF526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7FD580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1E378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C917D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70C5F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A2124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36794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DADF6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6B46B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2F02B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E43DBD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DBBC7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165FF6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94EE6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2A885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D2103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639DA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18411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F06C2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3326C9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82C69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E08E92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B8D87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F8408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A4B91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67112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161F6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C6C1BA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D74E76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5B6BD4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6DD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D3C85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46</w:t>
            </w:r>
          </w:p>
        </w:tc>
        <w:tc>
          <w:tcPr>
            <w:tcW w:w="608" w:type="dxa"/>
            <w:noWrap w:val="0"/>
            <w:vAlign w:val="center"/>
          </w:tcPr>
          <w:p w14:paraId="39B55973">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对生产、经营使用国家重点保护野生动物及其制品或者没有合法来源证明的非国家重点保护野生动物及其制品制作食品行为的处罚</w:t>
            </w:r>
          </w:p>
        </w:tc>
        <w:tc>
          <w:tcPr>
            <w:tcW w:w="607" w:type="dxa"/>
            <w:noWrap w:val="0"/>
            <w:vAlign w:val="center"/>
          </w:tcPr>
          <w:p w14:paraId="5622D3B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C0BFFEF">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0222030000</w:t>
            </w:r>
          </w:p>
        </w:tc>
        <w:tc>
          <w:tcPr>
            <w:tcW w:w="1538" w:type="dxa"/>
            <w:noWrap w:val="0"/>
            <w:vAlign w:val="center"/>
          </w:tcPr>
          <w:p w14:paraId="20D1C63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513185E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第三十条第一款　禁止生产、经营使用国家重点保护野生动物及其制品制作的食品，或者使用没有合法来源证明的非国家重点保护野生动物及其制品制作的食品。</w:t>
            </w:r>
          </w:p>
          <w:p w14:paraId="14EED9AE">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lang w:val="en-US" w:eastAsia="zh-CN"/>
              </w:rPr>
              <w:t> 第四十九条　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607" w:type="dxa"/>
            <w:noWrap w:val="0"/>
            <w:vAlign w:val="center"/>
          </w:tcPr>
          <w:p w14:paraId="0FEA5ADF">
            <w:pPr>
              <w:jc w:val="left"/>
              <w:rPr>
                <w:rFonts w:hint="eastAsia" w:ascii="仿宋_GB2312" w:hAnsi="仿宋_GB2312" w:eastAsia="仿宋_GB2312" w:cs="仿宋_GB2312"/>
                <w:color w:val="auto"/>
                <w:sz w:val="18"/>
                <w:szCs w:val="18"/>
                <w:highlight w:val="none"/>
              </w:rPr>
            </w:pPr>
          </w:p>
          <w:p w14:paraId="5DEF4827">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对生产、经营使用国家重点保护野生动物及其制品或者没有合法来源证明的非国家重点保护野生动物及其制品制作食品的处罚</w:t>
            </w:r>
          </w:p>
        </w:tc>
        <w:tc>
          <w:tcPr>
            <w:tcW w:w="1899" w:type="dxa"/>
            <w:noWrap w:val="0"/>
            <w:vAlign w:val="center"/>
          </w:tcPr>
          <w:p w14:paraId="4A4B65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CA7DB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7B284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89D57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21291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4005C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B0AB2E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D48B8A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A7FA8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104CA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1DB73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D21079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00D4E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6AC30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789515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142F70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AA757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E4034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E4012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D7A93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96C70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0330C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58035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FFFA3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7D0EA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EAFF5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D2038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67C00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29B952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BC8A216">
            <w:pPr>
              <w:shd w:val="clear" w:color="auto" w:fill="FFFFFF"/>
              <w:adjustRightInd w:val="0"/>
              <w:snapToGrid w:val="0"/>
              <w:rPr>
                <w:rFonts w:hint="eastAsia" w:ascii="仿宋_GB2312" w:hAnsi="仿宋_GB2312" w:eastAsia="仿宋_GB2312" w:cs="仿宋_GB2312"/>
                <w:color w:val="auto"/>
                <w:sz w:val="18"/>
                <w:szCs w:val="18"/>
                <w:highlight w:val="none"/>
              </w:rPr>
            </w:pPr>
          </w:p>
          <w:p w14:paraId="0B1A01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37D95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19BB8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BF07B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8E6DE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E6BCF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0C64C7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BC6E4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3EE6CBB">
            <w:pPr>
              <w:shd w:val="clear" w:color="auto" w:fill="FFFFFF"/>
              <w:adjustRightInd w:val="0"/>
              <w:snapToGrid w:val="0"/>
              <w:rPr>
                <w:rFonts w:hint="eastAsia" w:ascii="仿宋_GB2312" w:hAnsi="仿宋_GB2312" w:eastAsia="仿宋_GB2312" w:cs="仿宋_GB2312"/>
                <w:color w:val="auto"/>
                <w:sz w:val="18"/>
                <w:szCs w:val="18"/>
                <w:highlight w:val="none"/>
              </w:rPr>
            </w:pPr>
          </w:p>
          <w:p w14:paraId="5F6C8A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AE8A6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1B01E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7F75E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821F2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F12E7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E1A23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0F95D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0268FFF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6C2183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2DD40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B77F1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09ADF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E502A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18856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AB705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2D87A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40AEB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DDEC3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E75EF7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49489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E65F3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575D6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CAFBA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F2BFA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2C113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7EF31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3449EDD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45D8D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E43B4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E1242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54827F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4A08E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90693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B2FFB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BAAEB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085DC6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50AD5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0E615C2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BE5F3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D60AA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DCD3E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97D29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2791B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B1AC1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9BDDB7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3638B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FF6EB4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5BF48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51AD9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CF215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44464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B8792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B5B0E0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EDCA92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491495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9B9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306E0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47</w:t>
            </w:r>
          </w:p>
        </w:tc>
        <w:tc>
          <w:tcPr>
            <w:tcW w:w="608" w:type="dxa"/>
            <w:noWrap w:val="0"/>
            <w:vAlign w:val="center"/>
          </w:tcPr>
          <w:p w14:paraId="1E57A513">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对非法为食用购买国家重点保护的野生动物及其制品行为的处罚</w:t>
            </w:r>
          </w:p>
        </w:tc>
        <w:tc>
          <w:tcPr>
            <w:tcW w:w="607" w:type="dxa"/>
            <w:noWrap w:val="0"/>
            <w:vAlign w:val="center"/>
          </w:tcPr>
          <w:p w14:paraId="6030CA1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CCFC6D3">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0222031000</w:t>
            </w:r>
          </w:p>
        </w:tc>
        <w:tc>
          <w:tcPr>
            <w:tcW w:w="1538" w:type="dxa"/>
            <w:noWrap w:val="0"/>
            <w:vAlign w:val="center"/>
          </w:tcPr>
          <w:p w14:paraId="2475CF3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302E2B6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第三十条第二款禁止为食用非法购买国家重点保护的野生动物及其制品。</w:t>
            </w:r>
          </w:p>
          <w:p w14:paraId="255B1DE6">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工商行政管理部门按照职责分工责令停止违法行为，没收野生动物及其制品和违法所得，并处野生动物及其制品价值二倍以上十倍以下的罚款；构成犯罪的，依法追究刑事责任。</w:t>
            </w:r>
          </w:p>
        </w:tc>
        <w:tc>
          <w:tcPr>
            <w:tcW w:w="607" w:type="dxa"/>
            <w:noWrap w:val="0"/>
            <w:vAlign w:val="center"/>
          </w:tcPr>
          <w:p w14:paraId="3DFD5CFB">
            <w:pPr>
              <w:jc w:val="left"/>
              <w:rPr>
                <w:rFonts w:hint="eastAsia" w:ascii="仿宋_GB2312" w:hAnsi="仿宋_GB2312" w:eastAsia="仿宋_GB2312" w:cs="仿宋_GB2312"/>
                <w:color w:val="auto"/>
                <w:sz w:val="18"/>
                <w:szCs w:val="18"/>
                <w:highlight w:val="none"/>
              </w:rPr>
            </w:pPr>
          </w:p>
          <w:p w14:paraId="0BC71F2D">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对非法为食用购买国家重点保护的野生动物及其制品行为的处罚</w:t>
            </w:r>
          </w:p>
        </w:tc>
        <w:tc>
          <w:tcPr>
            <w:tcW w:w="1899" w:type="dxa"/>
            <w:noWrap w:val="0"/>
            <w:vAlign w:val="center"/>
          </w:tcPr>
          <w:p w14:paraId="1A7120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41392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B27FE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FDFF4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22A74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078AD0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74526B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1ECCF0C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C0421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98BF2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3C286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F09AFC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29BE00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6740A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1541D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1D10EB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4FD811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42791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17B0D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0CCC1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523A7B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9E54E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11902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2DADE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0BACE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A500B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E7D03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70023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2241D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AE09C2A">
            <w:pPr>
              <w:shd w:val="clear" w:color="auto" w:fill="FFFFFF"/>
              <w:adjustRightInd w:val="0"/>
              <w:snapToGrid w:val="0"/>
              <w:rPr>
                <w:rFonts w:hint="eastAsia" w:ascii="仿宋_GB2312" w:hAnsi="仿宋_GB2312" w:eastAsia="仿宋_GB2312" w:cs="仿宋_GB2312"/>
                <w:color w:val="auto"/>
                <w:sz w:val="18"/>
                <w:szCs w:val="18"/>
                <w:highlight w:val="none"/>
              </w:rPr>
            </w:pPr>
          </w:p>
          <w:p w14:paraId="35DA2A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8C224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7E1AB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4C1DF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A4448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9906B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09FB8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9AD2D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6CE92EE">
            <w:pPr>
              <w:shd w:val="clear" w:color="auto" w:fill="FFFFFF"/>
              <w:adjustRightInd w:val="0"/>
              <w:snapToGrid w:val="0"/>
              <w:rPr>
                <w:rFonts w:hint="eastAsia" w:ascii="仿宋_GB2312" w:hAnsi="仿宋_GB2312" w:eastAsia="仿宋_GB2312" w:cs="仿宋_GB2312"/>
                <w:color w:val="auto"/>
                <w:sz w:val="18"/>
                <w:szCs w:val="18"/>
                <w:highlight w:val="none"/>
              </w:rPr>
            </w:pPr>
          </w:p>
          <w:p w14:paraId="6680F1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FFEF2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2BF1A4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4ACAB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EEED2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F3A62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EC634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FEB6B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34A6A9D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14F17F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BD702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6AB29C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CA02A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46EFB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C80B4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F6C18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660D5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3C718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EAAD6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854988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5B3E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B4462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B26C0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5CF1B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6C7624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9C29A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78005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A3AEBE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F3BFD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AE02D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729F1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3FB26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CB733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7F240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051DF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09EF5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0232E1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18F607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75D0439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189CA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48146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31420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D1306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8CC2C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A57D2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1CF1AC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E3F27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0A339C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DA53D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CF86C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CCD8E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0E32D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F2953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650228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803795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891188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3EC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A32EA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48</w:t>
            </w:r>
          </w:p>
        </w:tc>
        <w:tc>
          <w:tcPr>
            <w:tcW w:w="608" w:type="dxa"/>
            <w:noWrap w:val="0"/>
            <w:vAlign w:val="center"/>
          </w:tcPr>
          <w:p w14:paraId="313F88A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对将从境外引进的野生动物放归野外环境行为的处罚</w:t>
            </w:r>
          </w:p>
          <w:p w14:paraId="60CAF280">
            <w:pPr>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607" w:type="dxa"/>
            <w:noWrap w:val="0"/>
            <w:vAlign w:val="center"/>
          </w:tcPr>
          <w:p w14:paraId="202018D6">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CB084DA">
            <w:pPr>
              <w:adjustRightInd w:val="0"/>
              <w:snapToGrid w:val="0"/>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0222032000</w:t>
            </w:r>
          </w:p>
          <w:p w14:paraId="2CC5322B">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1538" w:type="dxa"/>
            <w:noWrap w:val="0"/>
            <w:vAlign w:val="top"/>
          </w:tcPr>
          <w:p w14:paraId="2395E43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261AEE0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第三十七条第二款从境外引进野生动物物种的，应当采取安全可靠的防范措施，防止其进入野外环境，避免对生态系统造成危害。确需将其放归野外的，按照国家有关规定执行。</w:t>
            </w:r>
          </w:p>
          <w:p w14:paraId="589CCE60">
            <w:pPr>
              <w:autoSpaceDE w:val="0"/>
              <w:autoSpaceDN w:val="0"/>
              <w:adjustRightInd w:val="0"/>
              <w:spacing w:line="240" w:lineRule="exact"/>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五十四条违反本法第三十七条第二款规定，将从境外引进的野生动物放归野外环境的，由县级以上人民政府野生动物保护主管部门责令限期捕回，处一万元以上五万元以下的罚款；逾期不捕回的，由有关野生动物保护主管部门代为捕回或者采取降低影响的措施，所需费用由被责令限期捕回者承担。</w:t>
            </w:r>
          </w:p>
        </w:tc>
        <w:tc>
          <w:tcPr>
            <w:tcW w:w="607" w:type="dxa"/>
            <w:noWrap w:val="0"/>
            <w:vAlign w:val="center"/>
          </w:tcPr>
          <w:p w14:paraId="3CDF2C4B">
            <w:pPr>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对将从境外引进的野生动物放归野外环境行为的处罚</w:t>
            </w:r>
          </w:p>
          <w:p w14:paraId="53F1F1DE">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1899" w:type="dxa"/>
            <w:noWrap w:val="0"/>
            <w:vAlign w:val="center"/>
          </w:tcPr>
          <w:p w14:paraId="6D4304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3E0F3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29E2A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64FC4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B37C1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575AC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6A3907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05C427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1815B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68ED8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661E9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D0BB9FA">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7B95D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F2F93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01D2E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1E996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41478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FA33F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FC62F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F7497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43F44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B7D20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789AB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DC556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A7947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FEB72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7C425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1CA9D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A1875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148A650">
            <w:pPr>
              <w:shd w:val="clear" w:color="auto" w:fill="FFFFFF"/>
              <w:adjustRightInd w:val="0"/>
              <w:snapToGrid w:val="0"/>
              <w:rPr>
                <w:rFonts w:hint="eastAsia" w:ascii="仿宋_GB2312" w:hAnsi="仿宋_GB2312" w:eastAsia="仿宋_GB2312" w:cs="仿宋_GB2312"/>
                <w:color w:val="auto"/>
                <w:sz w:val="18"/>
                <w:szCs w:val="18"/>
                <w:highlight w:val="none"/>
              </w:rPr>
            </w:pPr>
          </w:p>
          <w:p w14:paraId="1C19D3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5C9352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5CE8F4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0371BC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680C49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A09EF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E370D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D6DFE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A419FAA">
            <w:pPr>
              <w:shd w:val="clear" w:color="auto" w:fill="FFFFFF"/>
              <w:adjustRightInd w:val="0"/>
              <w:snapToGrid w:val="0"/>
              <w:rPr>
                <w:rFonts w:hint="eastAsia" w:ascii="仿宋_GB2312" w:hAnsi="仿宋_GB2312" w:eastAsia="仿宋_GB2312" w:cs="仿宋_GB2312"/>
                <w:color w:val="auto"/>
                <w:sz w:val="18"/>
                <w:szCs w:val="18"/>
                <w:highlight w:val="none"/>
              </w:rPr>
            </w:pPr>
          </w:p>
          <w:p w14:paraId="4A5B63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EF5DA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215398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41B8C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1C5BF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F39A7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A3C2D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E04A9C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31229A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92C10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B2461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1E881B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5FA0C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41FA2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7927D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2BD63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6735A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9FE42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49BED6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6F881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B26E9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F7941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090EF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4BDB5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101E7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731D8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300BC21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AC8D5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7CC8B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B3849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94457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17AAF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53105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BC29A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7DC90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56F262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55E9C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AE6553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EABC0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608FF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567F4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A5C34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FDDB2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B5443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7782B6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D3DF6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41434F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25239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C7033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7DF39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72F8B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B7B54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2917BB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377C92D">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3B2A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56C53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49</w:t>
            </w:r>
          </w:p>
        </w:tc>
        <w:tc>
          <w:tcPr>
            <w:tcW w:w="608" w:type="dxa"/>
            <w:noWrap w:val="0"/>
            <w:vAlign w:val="center"/>
          </w:tcPr>
          <w:p w14:paraId="26A86A45">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对非法使用有关野生动物证件和文件行为的处罚</w:t>
            </w:r>
          </w:p>
        </w:tc>
        <w:tc>
          <w:tcPr>
            <w:tcW w:w="607" w:type="dxa"/>
            <w:noWrap w:val="0"/>
            <w:vAlign w:val="center"/>
          </w:tcPr>
          <w:p w14:paraId="73F6418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169F4425">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0222033000</w:t>
            </w:r>
          </w:p>
        </w:tc>
        <w:tc>
          <w:tcPr>
            <w:tcW w:w="1538" w:type="dxa"/>
            <w:noWrap w:val="0"/>
            <w:vAlign w:val="top"/>
          </w:tcPr>
          <w:p w14:paraId="171759D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年修订）</w:t>
            </w:r>
          </w:p>
          <w:p w14:paraId="60E9910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第三十九条第一款　禁止伪造、变造、买卖、转让、租借特许猎捕证、狩猎证、人工繁育许可证及专用标识，出售、购买、利用国家重点保护野生动物及其制品的批准文件，或者允许进出口证明书、进出口等批准文件。</w:t>
            </w:r>
          </w:p>
          <w:p w14:paraId="19F0F844">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五十五条违反本法第三十九条第一款规定，伪造、变造、买卖、转让、租借有关证件、专用标识或者有关批准文件的，由县级以上人民政府野生动物保护主管部门没收违法证件、专用标识、有关批准文件和违法所得，并处五万元以上二十五万元以下的罚款；构成违反治安管理行为的，由公安机关依法给予治安管理处罚；构成犯罪的，依法追究刑事责任。</w:t>
            </w:r>
          </w:p>
        </w:tc>
        <w:tc>
          <w:tcPr>
            <w:tcW w:w="607" w:type="dxa"/>
            <w:noWrap w:val="0"/>
            <w:vAlign w:val="center"/>
          </w:tcPr>
          <w:p w14:paraId="77DD3907">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对非法使用有关野生动物证件和文件行为的处罚</w:t>
            </w:r>
          </w:p>
        </w:tc>
        <w:tc>
          <w:tcPr>
            <w:tcW w:w="1899" w:type="dxa"/>
            <w:noWrap w:val="0"/>
            <w:vAlign w:val="center"/>
          </w:tcPr>
          <w:p w14:paraId="751209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740EE5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2E610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D6E45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CD377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FA9CC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5245B9C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E2EDDE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947A1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5A46B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8759A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CC30B00">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548AD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0ED86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7FC1B1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7CECD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EBB42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B9ADB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4F861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53D2A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D86D3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C88C0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A1AAB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FD469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68401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3D721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337CA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DD9C1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F0123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085ACF4">
            <w:pPr>
              <w:shd w:val="clear" w:color="auto" w:fill="FFFFFF"/>
              <w:adjustRightInd w:val="0"/>
              <w:snapToGrid w:val="0"/>
              <w:rPr>
                <w:rFonts w:hint="eastAsia" w:ascii="仿宋_GB2312" w:hAnsi="仿宋_GB2312" w:eastAsia="仿宋_GB2312" w:cs="仿宋_GB2312"/>
                <w:color w:val="auto"/>
                <w:sz w:val="18"/>
                <w:szCs w:val="18"/>
                <w:highlight w:val="none"/>
              </w:rPr>
            </w:pPr>
          </w:p>
          <w:p w14:paraId="4D05FF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0FFA2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EB31B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0AAEB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11B91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FD15D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ABF95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934F1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E003663">
            <w:pPr>
              <w:shd w:val="clear" w:color="auto" w:fill="FFFFFF"/>
              <w:adjustRightInd w:val="0"/>
              <w:snapToGrid w:val="0"/>
              <w:rPr>
                <w:rFonts w:hint="eastAsia" w:ascii="仿宋_GB2312" w:hAnsi="仿宋_GB2312" w:eastAsia="仿宋_GB2312" w:cs="仿宋_GB2312"/>
                <w:color w:val="auto"/>
                <w:sz w:val="18"/>
                <w:szCs w:val="18"/>
                <w:highlight w:val="none"/>
              </w:rPr>
            </w:pPr>
          </w:p>
          <w:p w14:paraId="4C91C0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797FF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1BAFD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074B1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76BF1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04AFF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13D56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C01063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3EA34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AE001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3388C6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6E2C7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17C60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01212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6DA93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22805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77869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53B96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7FF3FA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179E0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79CEF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98ED4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3925B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F995C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C270F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77933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37F7BC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503CD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D33DF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E6208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7E9B7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85778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441F0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46DD8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D425B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494209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F1603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47B09B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7ED48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98845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F4396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42B6C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C5EF9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ECD35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2BA15A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AA079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0786C8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0CED9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B8F92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EF00F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338E4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2F475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2033DB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1CC92B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C0CA0A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EBC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A86C4D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50</w:t>
            </w:r>
          </w:p>
        </w:tc>
        <w:tc>
          <w:tcPr>
            <w:tcW w:w="608" w:type="dxa"/>
            <w:noWrap w:val="0"/>
            <w:vAlign w:val="center"/>
          </w:tcPr>
          <w:p w14:paraId="1F0998CC">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对不按照治理方案进行治理的或者经验收不合格又不按要求继续治理行为的处罚</w:t>
            </w:r>
          </w:p>
        </w:tc>
        <w:tc>
          <w:tcPr>
            <w:tcW w:w="607" w:type="dxa"/>
            <w:noWrap w:val="0"/>
            <w:vAlign w:val="center"/>
          </w:tcPr>
          <w:p w14:paraId="5902BEDD">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9B80A40">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0222037000</w:t>
            </w:r>
          </w:p>
        </w:tc>
        <w:tc>
          <w:tcPr>
            <w:tcW w:w="1538" w:type="dxa"/>
            <w:noWrap w:val="0"/>
            <w:vAlign w:val="center"/>
          </w:tcPr>
          <w:p w14:paraId="1FB16C46">
            <w:pPr>
              <w:ind w:left="357" w:leftChars="170" w:firstLine="0" w:firstLineChars="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【法律】《中华人民共和国防沙治沙法》</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2018年10月26日修订</w:t>
            </w:r>
            <w:r>
              <w:rPr>
                <w:rFonts w:hint="eastAsia" w:ascii="仿宋_GB2312" w:hAnsi="仿宋_GB2312" w:eastAsia="仿宋_GB2312" w:cs="仿宋_GB2312"/>
                <w:color w:val="auto"/>
                <w:sz w:val="18"/>
                <w:szCs w:val="18"/>
                <w:highlight w:val="none"/>
                <w:lang w:val="en-US" w:eastAsia="zh-CN"/>
              </w:rPr>
              <w:t xml:space="preserve">) </w:t>
            </w:r>
          </w:p>
          <w:p w14:paraId="712C210E">
            <w:pPr>
              <w:ind w:left="357" w:leftChars="170" w:firstLine="0" w:firstLineChars="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第二十八条第一款　从事营利性治沙活动的单位和个人，必须按照治理方案进行治理。</w:t>
            </w:r>
          </w:p>
          <w:p w14:paraId="4E4DCA5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第二十九条　治理者完成治理任务后，应当向县级以上地方人民政府受理治理申请的行政主管部门提出验收申请。经验收合格的，受理治理申请的行政主管部门应当发给治理合格证明文件；经验收不合格的，治理者应当继续治理。</w:t>
            </w:r>
          </w:p>
          <w:p w14:paraId="7800FF8B">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一条违反本法第二十八条第一款规定，不按照治理方案进行治理的，或者违反本法第二十九条规定，经验收不合格又不按要求继续治理的，由县级以上地方人民政府负责受理营利性治沙申请的行政主管部门责令停止违法行为，限期改正，可以并处相当于治理费用一倍以上三倍以下的罚款。</w:t>
            </w:r>
          </w:p>
        </w:tc>
        <w:tc>
          <w:tcPr>
            <w:tcW w:w="607" w:type="dxa"/>
            <w:noWrap w:val="0"/>
            <w:vAlign w:val="center"/>
          </w:tcPr>
          <w:p w14:paraId="4CE0C5CC">
            <w:pPr>
              <w:jc w:val="left"/>
              <w:rPr>
                <w:rFonts w:hint="eastAsia" w:ascii="仿宋_GB2312" w:hAnsi="仿宋_GB2312" w:eastAsia="仿宋_GB2312" w:cs="仿宋_GB2312"/>
                <w:color w:val="auto"/>
                <w:sz w:val="18"/>
                <w:szCs w:val="18"/>
                <w:highlight w:val="none"/>
              </w:rPr>
            </w:pPr>
          </w:p>
          <w:p w14:paraId="13F82F96">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对不按照治理方案进行治理的，经验收不合格又不按要求继续治理行为的处罚</w:t>
            </w:r>
          </w:p>
        </w:tc>
        <w:tc>
          <w:tcPr>
            <w:tcW w:w="1899" w:type="dxa"/>
            <w:noWrap w:val="0"/>
            <w:vAlign w:val="center"/>
          </w:tcPr>
          <w:p w14:paraId="3D760E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210AB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D95F4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C7174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5F48C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21F52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F7A1D0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8D4284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CB4F1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5D1FD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7A877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762381B">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BFB6A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799DD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3B42D6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95921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83261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367070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338B1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02CE2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D62F1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737278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0FC13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14A2E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BB2BA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16711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D1CB1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AF686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DCA8D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1852316">
            <w:pPr>
              <w:shd w:val="clear" w:color="auto" w:fill="FFFFFF"/>
              <w:adjustRightInd w:val="0"/>
              <w:snapToGrid w:val="0"/>
              <w:rPr>
                <w:rFonts w:hint="eastAsia" w:ascii="仿宋_GB2312" w:hAnsi="仿宋_GB2312" w:eastAsia="仿宋_GB2312" w:cs="仿宋_GB2312"/>
                <w:color w:val="auto"/>
                <w:sz w:val="18"/>
                <w:szCs w:val="18"/>
                <w:highlight w:val="none"/>
              </w:rPr>
            </w:pPr>
          </w:p>
          <w:p w14:paraId="0E370D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D2E5F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DCE93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F4240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A6275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E7185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56A73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334D9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468F3A38">
            <w:pPr>
              <w:shd w:val="clear" w:color="auto" w:fill="FFFFFF"/>
              <w:adjustRightInd w:val="0"/>
              <w:snapToGrid w:val="0"/>
              <w:rPr>
                <w:rFonts w:hint="eastAsia" w:ascii="仿宋_GB2312" w:hAnsi="仿宋_GB2312" w:eastAsia="仿宋_GB2312" w:cs="仿宋_GB2312"/>
                <w:color w:val="auto"/>
                <w:sz w:val="18"/>
                <w:szCs w:val="18"/>
                <w:highlight w:val="none"/>
              </w:rPr>
            </w:pPr>
          </w:p>
          <w:p w14:paraId="3B4485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5271D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38581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713EE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BD646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1725F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49AEF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ED1A6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0174538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75843D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0AF5A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E9DE9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0FDC9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E3BD3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21B46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518F3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714E5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D5E61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09E18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A51906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FC049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E8756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17CE1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4BB20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74A69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B5E4C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A764B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1AB4DA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BA38F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0C087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C17D9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3F59F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19E27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22BC9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A2F53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DA38B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790183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B58CC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820105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F4C43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EB8BD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7CDA8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CFB02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1DBC3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1253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51F596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913AA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726AA6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D3CB7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0D799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BFF71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67CB8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9C294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B4B984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A37EDAE">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072C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45616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51</w:t>
            </w:r>
          </w:p>
        </w:tc>
        <w:tc>
          <w:tcPr>
            <w:tcW w:w="608" w:type="dxa"/>
            <w:noWrap w:val="0"/>
            <w:vAlign w:val="center"/>
          </w:tcPr>
          <w:p w14:paraId="54840CB6">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对森林、林木、林地的经营单位或者个人未履行森林防火责任的行为的处罚</w:t>
            </w:r>
          </w:p>
        </w:tc>
        <w:tc>
          <w:tcPr>
            <w:tcW w:w="607" w:type="dxa"/>
            <w:noWrap w:val="0"/>
            <w:vAlign w:val="center"/>
          </w:tcPr>
          <w:p w14:paraId="7A9ABD01">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2CC5F8F">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0222038000</w:t>
            </w:r>
          </w:p>
        </w:tc>
        <w:tc>
          <w:tcPr>
            <w:tcW w:w="1538" w:type="dxa"/>
            <w:noWrap w:val="0"/>
            <w:vAlign w:val="top"/>
          </w:tcPr>
          <w:p w14:paraId="01A8FFEF">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【行政法规】《森林防火条例》（2008年国务院令第541号修订）</w:t>
            </w:r>
          </w:p>
          <w:p w14:paraId="06A7CAE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第四十八条 违反本条例规定，森林、林木、林地的经营单位或者个人未履行森林防火责任的，由县级以上地方人民政府林业主管部门责令改正，对个人处500元以上5000元以下罚款，对单位处1万元以上5万元以下罚款。</w:t>
            </w:r>
          </w:p>
          <w:p w14:paraId="288F1AAF">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p>
        </w:tc>
        <w:tc>
          <w:tcPr>
            <w:tcW w:w="607" w:type="dxa"/>
            <w:noWrap w:val="0"/>
            <w:vAlign w:val="center"/>
          </w:tcPr>
          <w:p w14:paraId="1FA7E6DC">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对森林、林木、林地的经营者未履行森林防火责任行为的处罚</w:t>
            </w:r>
          </w:p>
        </w:tc>
        <w:tc>
          <w:tcPr>
            <w:tcW w:w="1899" w:type="dxa"/>
            <w:noWrap w:val="0"/>
            <w:vAlign w:val="center"/>
          </w:tcPr>
          <w:p w14:paraId="17AC72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A73AB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0F59A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44B271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38AFA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CC2CC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92FE02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76126B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58097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A8DCB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56CD4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0696820">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1C7F2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C8D27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06DC7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75675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70C04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901B9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00EB2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B7098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4C890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8F3A3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5DD1A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095E5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0E190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6A6BF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B62EA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97A19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2B2F0D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1DD71A0">
            <w:pPr>
              <w:shd w:val="clear" w:color="auto" w:fill="FFFFFF"/>
              <w:adjustRightInd w:val="0"/>
              <w:snapToGrid w:val="0"/>
              <w:rPr>
                <w:rFonts w:hint="eastAsia" w:ascii="仿宋_GB2312" w:hAnsi="仿宋_GB2312" w:eastAsia="仿宋_GB2312" w:cs="仿宋_GB2312"/>
                <w:color w:val="auto"/>
                <w:sz w:val="18"/>
                <w:szCs w:val="18"/>
                <w:highlight w:val="none"/>
              </w:rPr>
            </w:pPr>
          </w:p>
          <w:p w14:paraId="50C5A2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969C4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741A3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FF21B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04D60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C0023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78092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67F12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0D224AC">
            <w:pPr>
              <w:shd w:val="clear" w:color="auto" w:fill="FFFFFF"/>
              <w:adjustRightInd w:val="0"/>
              <w:snapToGrid w:val="0"/>
              <w:rPr>
                <w:rFonts w:hint="eastAsia" w:ascii="仿宋_GB2312" w:hAnsi="仿宋_GB2312" w:eastAsia="仿宋_GB2312" w:cs="仿宋_GB2312"/>
                <w:color w:val="auto"/>
                <w:sz w:val="18"/>
                <w:szCs w:val="18"/>
                <w:highlight w:val="none"/>
              </w:rPr>
            </w:pPr>
          </w:p>
          <w:p w14:paraId="000DE1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623E9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B69A6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0C9C3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519CD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14725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959E8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117679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678A4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95B0C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DE4EB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3BC0A7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0C669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19029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ABF30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C57C4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B14B3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92412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46B3C9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27EA1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B7CD2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2F912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94486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AD11D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FB32A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71BC3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48A200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1D0FF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A61AD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4D038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51DC9E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0F725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34721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D7216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43DF3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C6D939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899AF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7F8017E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54306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D3137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AE360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B9EED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76F97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5F14D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51622B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BB185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480BF4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0096E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309A0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EF697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CC05B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2FE4F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86C60C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F278B2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3A6E4E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BF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5CBA0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52</w:t>
            </w:r>
          </w:p>
        </w:tc>
        <w:tc>
          <w:tcPr>
            <w:tcW w:w="608" w:type="dxa"/>
            <w:noWrap w:val="0"/>
            <w:vAlign w:val="center"/>
          </w:tcPr>
          <w:p w14:paraId="20A536ED">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对拒不接受森林防火检查或者逾期不消除火灾隐患行为的处罚</w:t>
            </w:r>
          </w:p>
        </w:tc>
        <w:tc>
          <w:tcPr>
            <w:tcW w:w="607" w:type="dxa"/>
            <w:noWrap w:val="0"/>
            <w:vAlign w:val="center"/>
          </w:tcPr>
          <w:p w14:paraId="331CDC45">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ED62658">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0222039000</w:t>
            </w:r>
          </w:p>
        </w:tc>
        <w:tc>
          <w:tcPr>
            <w:tcW w:w="1538" w:type="dxa"/>
            <w:noWrap w:val="0"/>
            <w:vAlign w:val="top"/>
          </w:tcPr>
          <w:p w14:paraId="1F9DB656">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【行政法规】《森林防火条例》（2008年国务院令第541号修订）</w:t>
            </w:r>
          </w:p>
          <w:p w14:paraId="60E00F21">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第四十九条 违反本条例规定，森林防火区内的有关单位或者个人拒绝接受森林防火检查或者接到森林火灾隐患整改通知书逾期不消除火灾隐患的，由县级以上地方人民政府林业主管部门责令改正，给予警告，对个人并处200元以上2000元以下罚款，对单位并处5000元以上1万元以下罚款。</w:t>
            </w:r>
          </w:p>
        </w:tc>
        <w:tc>
          <w:tcPr>
            <w:tcW w:w="607" w:type="dxa"/>
            <w:noWrap w:val="0"/>
            <w:vAlign w:val="center"/>
          </w:tcPr>
          <w:p w14:paraId="069143CE">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对拒不接受森林防火检查或者逾期不消除火灾隐患行为的处罚</w:t>
            </w:r>
          </w:p>
        </w:tc>
        <w:tc>
          <w:tcPr>
            <w:tcW w:w="1899" w:type="dxa"/>
            <w:noWrap w:val="0"/>
            <w:vAlign w:val="center"/>
          </w:tcPr>
          <w:p w14:paraId="095B7E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757CA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395C2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5CEDC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813C3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46F76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983149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7DDC92B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64E0B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9BF9E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41807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1EC0FE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DDB8C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7F15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C83F4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E2CDB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CE3DC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CCD9C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4781A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CB3B6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E0347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780991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5E96D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5C1B4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523C5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8C5B4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99CF9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B0E06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1C5A9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50C3786">
            <w:pPr>
              <w:shd w:val="clear" w:color="auto" w:fill="FFFFFF"/>
              <w:adjustRightInd w:val="0"/>
              <w:snapToGrid w:val="0"/>
              <w:rPr>
                <w:rFonts w:hint="eastAsia" w:ascii="仿宋_GB2312" w:hAnsi="仿宋_GB2312" w:eastAsia="仿宋_GB2312" w:cs="仿宋_GB2312"/>
                <w:color w:val="auto"/>
                <w:sz w:val="18"/>
                <w:szCs w:val="18"/>
                <w:highlight w:val="none"/>
              </w:rPr>
            </w:pPr>
          </w:p>
          <w:p w14:paraId="42E585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6BF5A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8E1CF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504D7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44760D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625439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010F6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A117E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1A9351A">
            <w:pPr>
              <w:shd w:val="clear" w:color="auto" w:fill="FFFFFF"/>
              <w:adjustRightInd w:val="0"/>
              <w:snapToGrid w:val="0"/>
              <w:rPr>
                <w:rFonts w:hint="eastAsia" w:ascii="仿宋_GB2312" w:hAnsi="仿宋_GB2312" w:eastAsia="仿宋_GB2312" w:cs="仿宋_GB2312"/>
                <w:color w:val="auto"/>
                <w:sz w:val="18"/>
                <w:szCs w:val="18"/>
                <w:highlight w:val="none"/>
              </w:rPr>
            </w:pPr>
          </w:p>
          <w:p w14:paraId="2CF364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0EB03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95B89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079C8B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D6143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4D3C7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4055E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EEE2F8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958E4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23885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705AC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E926A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D1CFC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9E9CF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D28C7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4BC07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5BDFB7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C727E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BB5290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BFC16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BC4AF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B0CB4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D0242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542D4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9014B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EFB61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3E12B1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25A32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6BA6F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88617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A958A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F4C59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1F10F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7FE96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5C816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4A7230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48BA6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2B4C5A2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79214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461C6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D0113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B428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81318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C1ED1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2ED52B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0646A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B3F3CE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94D9F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95B86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92A80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24DC6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C1BB6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4438DD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12FBE6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30549B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89E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E5709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53</w:t>
            </w:r>
          </w:p>
        </w:tc>
        <w:tc>
          <w:tcPr>
            <w:tcW w:w="608" w:type="dxa"/>
            <w:noWrap w:val="0"/>
            <w:vAlign w:val="center"/>
          </w:tcPr>
          <w:p w14:paraId="697F0F4D">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对在森林防火期、森林防火区内擅自野外用火行为的处罚</w:t>
            </w:r>
          </w:p>
        </w:tc>
        <w:tc>
          <w:tcPr>
            <w:tcW w:w="607" w:type="dxa"/>
            <w:noWrap w:val="0"/>
            <w:vAlign w:val="center"/>
          </w:tcPr>
          <w:p w14:paraId="4891A227">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8E54AFF">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0222040000</w:t>
            </w:r>
          </w:p>
        </w:tc>
        <w:tc>
          <w:tcPr>
            <w:tcW w:w="1538" w:type="dxa"/>
            <w:noWrap w:val="0"/>
            <w:vAlign w:val="center"/>
          </w:tcPr>
          <w:p w14:paraId="754AE1D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【行政法规】《森林防火条例》（2008年国务院令第541号修改）</w:t>
            </w:r>
          </w:p>
          <w:p w14:paraId="3CBA3E7F">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第五十条　违反本条例规定，森林防火期内未经批准擅自在森林防火区内野外用火的，由县级以上地方人民政府林业主管部门责令停止违法行为，给予警告，对个人并处200元以上3000元以下罚款，对单位并处1万元以上5万元以下罚款。</w:t>
            </w:r>
          </w:p>
        </w:tc>
        <w:tc>
          <w:tcPr>
            <w:tcW w:w="607" w:type="dxa"/>
            <w:noWrap w:val="0"/>
            <w:vAlign w:val="center"/>
          </w:tcPr>
          <w:p w14:paraId="7F524104">
            <w:pPr>
              <w:jc w:val="left"/>
              <w:rPr>
                <w:rFonts w:hint="eastAsia" w:ascii="仿宋_GB2312" w:hAnsi="仿宋_GB2312" w:eastAsia="仿宋_GB2312" w:cs="仿宋_GB2312"/>
                <w:color w:val="auto"/>
                <w:sz w:val="18"/>
                <w:szCs w:val="18"/>
                <w:highlight w:val="none"/>
              </w:rPr>
            </w:pPr>
          </w:p>
          <w:p w14:paraId="6B85B379">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对在森林防火期、森林防火区内擅自野外用火行为的处罚</w:t>
            </w:r>
          </w:p>
        </w:tc>
        <w:tc>
          <w:tcPr>
            <w:tcW w:w="1899" w:type="dxa"/>
            <w:noWrap w:val="0"/>
            <w:vAlign w:val="center"/>
          </w:tcPr>
          <w:p w14:paraId="7B714A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6A1C5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38A9AA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6796C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70266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4DF9E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653C20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8DE4E7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42094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B2561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E9561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29C88CF">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79F6C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1C53B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DAEDF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557F1C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D874D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B0580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6E9479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2A015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0B4BC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4BA1E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54BEC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667DD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A5C34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058509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87086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C4920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3F7CE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4BD86B1">
            <w:pPr>
              <w:shd w:val="clear" w:color="auto" w:fill="FFFFFF"/>
              <w:adjustRightInd w:val="0"/>
              <w:snapToGrid w:val="0"/>
              <w:rPr>
                <w:rFonts w:hint="eastAsia" w:ascii="仿宋_GB2312" w:hAnsi="仿宋_GB2312" w:eastAsia="仿宋_GB2312" w:cs="仿宋_GB2312"/>
                <w:color w:val="auto"/>
                <w:sz w:val="18"/>
                <w:szCs w:val="18"/>
                <w:highlight w:val="none"/>
              </w:rPr>
            </w:pPr>
          </w:p>
          <w:p w14:paraId="7B9EE5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18783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3B979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ACF24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47B216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CC7EF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F1474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92A60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0C870E3">
            <w:pPr>
              <w:shd w:val="clear" w:color="auto" w:fill="FFFFFF"/>
              <w:adjustRightInd w:val="0"/>
              <w:snapToGrid w:val="0"/>
              <w:rPr>
                <w:rFonts w:hint="eastAsia" w:ascii="仿宋_GB2312" w:hAnsi="仿宋_GB2312" w:eastAsia="仿宋_GB2312" w:cs="仿宋_GB2312"/>
                <w:color w:val="auto"/>
                <w:sz w:val="18"/>
                <w:szCs w:val="18"/>
                <w:highlight w:val="none"/>
              </w:rPr>
            </w:pPr>
          </w:p>
          <w:p w14:paraId="4ECA70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15F28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2AE4A9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EE290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7F457A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D217D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0F716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C0204D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94F5E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A6E7C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E7F1A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5C2C7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DC595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26C74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52030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0B302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5124D0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6F0EF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C7E7E4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C23B2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399EB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25CA8A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78107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D467F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A8805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326D5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994A39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B3DC9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95B4E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D08EB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3D732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40229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406CF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82366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49C7B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19DC5E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AEE5E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0B1223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D5238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28ACB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F336F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F9D99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5FB6A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49DCC9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C0F8BA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54D8D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46FEB5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7F76B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5DDBB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75B28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A693C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9B501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5433AB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4FF953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4279F2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810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6C2A5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vertAlign w:val="baseline"/>
                <w:lang w:val="en-US" w:eastAsia="zh-CN" w:bidi="ar-SA"/>
              </w:rPr>
              <w:t>54</w:t>
            </w:r>
          </w:p>
        </w:tc>
        <w:tc>
          <w:tcPr>
            <w:tcW w:w="608" w:type="dxa"/>
            <w:noWrap w:val="0"/>
            <w:vAlign w:val="center"/>
          </w:tcPr>
          <w:p w14:paraId="1FA442D1">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对森林防火期内未经批准在森林防火区内进行实弹演习、爆破等活动行为的处罚</w:t>
            </w:r>
          </w:p>
        </w:tc>
        <w:tc>
          <w:tcPr>
            <w:tcW w:w="607" w:type="dxa"/>
            <w:noWrap w:val="0"/>
            <w:vAlign w:val="center"/>
          </w:tcPr>
          <w:p w14:paraId="4FCC3CF5">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1F7119E">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0222041000</w:t>
            </w:r>
          </w:p>
        </w:tc>
        <w:tc>
          <w:tcPr>
            <w:tcW w:w="1538" w:type="dxa"/>
            <w:noWrap w:val="0"/>
            <w:vAlign w:val="center"/>
          </w:tcPr>
          <w:p w14:paraId="0B0B55C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【行政法规】《森林防火条例》（2008年国务院令第541号修改）</w:t>
            </w:r>
          </w:p>
          <w:p w14:paraId="5D426993">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第五十一条　违反本条例规定，森林防火期内未经批准在森林防火区内进行实弹演习、爆破等活动的，由县级以上地方人民政府林业主管部门责令停止违法行为，给予警告，并处5万元以上10万元以下罚款。</w:t>
            </w:r>
          </w:p>
        </w:tc>
        <w:tc>
          <w:tcPr>
            <w:tcW w:w="607" w:type="dxa"/>
            <w:noWrap w:val="0"/>
            <w:vAlign w:val="center"/>
          </w:tcPr>
          <w:p w14:paraId="7321FD72">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对森林防火期内未经批准在森林防火区内进行实弹演习、爆破等活动行为的处罚</w:t>
            </w:r>
          </w:p>
        </w:tc>
        <w:tc>
          <w:tcPr>
            <w:tcW w:w="1899" w:type="dxa"/>
            <w:noWrap w:val="0"/>
            <w:vAlign w:val="center"/>
          </w:tcPr>
          <w:p w14:paraId="6E2D82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2E657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95E4D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52B21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A0AC4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05F890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97F363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C86761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09C0E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E1011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CB12A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8D5AC57">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31CDA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7B133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7B793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54A09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986DA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77825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1E285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B5983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851E9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4ADDC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1616C1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76ED7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C4EA1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118F8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35C80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DF8BC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CCADC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BF4E24D">
            <w:pPr>
              <w:shd w:val="clear" w:color="auto" w:fill="FFFFFF"/>
              <w:adjustRightInd w:val="0"/>
              <w:snapToGrid w:val="0"/>
              <w:rPr>
                <w:rFonts w:hint="eastAsia" w:ascii="仿宋_GB2312" w:hAnsi="仿宋_GB2312" w:eastAsia="仿宋_GB2312" w:cs="仿宋_GB2312"/>
                <w:color w:val="auto"/>
                <w:sz w:val="18"/>
                <w:szCs w:val="18"/>
                <w:highlight w:val="none"/>
              </w:rPr>
            </w:pPr>
          </w:p>
          <w:p w14:paraId="6BE85C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74F7D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B2BFC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335DF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E1C79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449BB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D0CF9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32E94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183A3DF">
            <w:pPr>
              <w:shd w:val="clear" w:color="auto" w:fill="FFFFFF"/>
              <w:adjustRightInd w:val="0"/>
              <w:snapToGrid w:val="0"/>
              <w:rPr>
                <w:rFonts w:hint="eastAsia" w:ascii="仿宋_GB2312" w:hAnsi="仿宋_GB2312" w:eastAsia="仿宋_GB2312" w:cs="仿宋_GB2312"/>
                <w:color w:val="auto"/>
                <w:sz w:val="18"/>
                <w:szCs w:val="18"/>
                <w:highlight w:val="none"/>
              </w:rPr>
            </w:pPr>
          </w:p>
          <w:p w14:paraId="634213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54F2F9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79A09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35AF4E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B89D9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2D448F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7A4E5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F472E9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0068B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EE8EA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339F1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3D7335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7B75D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900BB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63676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C676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51BA9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A40F1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584823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9A5A2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21F6B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551EAB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F99EB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630C03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0E6F3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D1418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A8FF96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89D3F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1EBE0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12758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59558D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ABCAA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82D4A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87B87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BEEC0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FFC955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C851B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62E8CC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BC18F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6B79A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30D1D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839EC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975E0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0E5BBE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486AF9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36C16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F8E105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11C1F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62CE7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F51F6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1F514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BBAB5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556B63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FFBF48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7A4E6D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29D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16A58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55</w:t>
            </w:r>
          </w:p>
        </w:tc>
        <w:tc>
          <w:tcPr>
            <w:tcW w:w="608" w:type="dxa"/>
            <w:noWrap w:val="0"/>
            <w:vAlign w:val="center"/>
          </w:tcPr>
          <w:p w14:paraId="6C5E914C">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对在森林防火期内未设置森林防火警示宣传标志行为的处罚</w:t>
            </w:r>
          </w:p>
        </w:tc>
        <w:tc>
          <w:tcPr>
            <w:tcW w:w="607" w:type="dxa"/>
            <w:noWrap w:val="0"/>
            <w:vAlign w:val="center"/>
          </w:tcPr>
          <w:p w14:paraId="1D1AA49B">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90C7C3A">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0222042000</w:t>
            </w:r>
          </w:p>
        </w:tc>
        <w:tc>
          <w:tcPr>
            <w:tcW w:w="1538" w:type="dxa"/>
            <w:noWrap w:val="0"/>
            <w:vAlign w:val="center"/>
          </w:tcPr>
          <w:p w14:paraId="2545083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【行政法规】《森林防火条例》（2008年国务院令第541号修改）</w:t>
            </w:r>
          </w:p>
          <w:p w14:paraId="5BFEE1E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第五十二条  违反本条例规定，有下列行为之一的，由县级以上地方人民政府林业主管部门责令改正，给予警告，对个人并处200元以上2000元以下罚款，对单位并处2000元以上5000元以下罚款：</w:t>
            </w:r>
          </w:p>
          <w:p w14:paraId="5346CA3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（一）森林防火期内，森林、林木、林地的经营单位未设置森林防火警示宣传标志的；</w:t>
            </w:r>
          </w:p>
          <w:p w14:paraId="570554C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（二）森林防火期内，进入森林防火区的机动车辆未安装森林防火装置的；</w:t>
            </w:r>
          </w:p>
          <w:p w14:paraId="6DFF6AEE">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（三）森林高火险期内，未经批准擅自进入森林高火险区活动的。</w:t>
            </w:r>
          </w:p>
        </w:tc>
        <w:tc>
          <w:tcPr>
            <w:tcW w:w="607" w:type="dxa"/>
            <w:noWrap w:val="0"/>
            <w:vAlign w:val="center"/>
          </w:tcPr>
          <w:p w14:paraId="17AD4486">
            <w:pPr>
              <w:jc w:val="left"/>
              <w:rPr>
                <w:rFonts w:hint="eastAsia" w:ascii="仿宋_GB2312" w:hAnsi="仿宋_GB2312" w:eastAsia="仿宋_GB2312" w:cs="仿宋_GB2312"/>
                <w:color w:val="auto"/>
                <w:sz w:val="18"/>
                <w:szCs w:val="18"/>
                <w:highlight w:val="none"/>
              </w:rPr>
            </w:pPr>
          </w:p>
          <w:p w14:paraId="7E60047A">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对在森林防火期内未设置森林防火警示宣传标志行为的处罚</w:t>
            </w:r>
          </w:p>
        </w:tc>
        <w:tc>
          <w:tcPr>
            <w:tcW w:w="1899" w:type="dxa"/>
            <w:noWrap w:val="0"/>
            <w:vAlign w:val="center"/>
          </w:tcPr>
          <w:p w14:paraId="6A3A36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0BA4E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CEC0D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B7749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661E9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348DF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9F23A2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E297C7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D9877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A492A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16329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E8A701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93CF0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B4C2E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52854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02FC5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B60ED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57B03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C85C8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CF413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4396D3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56744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AFD88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2C515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9CF01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D441D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476B5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7A8F94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2C51D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8ED223B">
            <w:pPr>
              <w:shd w:val="clear" w:color="auto" w:fill="FFFFFF"/>
              <w:adjustRightInd w:val="0"/>
              <w:snapToGrid w:val="0"/>
              <w:rPr>
                <w:rFonts w:hint="eastAsia" w:ascii="仿宋_GB2312" w:hAnsi="仿宋_GB2312" w:eastAsia="仿宋_GB2312" w:cs="仿宋_GB2312"/>
                <w:color w:val="auto"/>
                <w:sz w:val="18"/>
                <w:szCs w:val="18"/>
                <w:highlight w:val="none"/>
              </w:rPr>
            </w:pPr>
          </w:p>
          <w:p w14:paraId="067579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20C0B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1C2E0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C5815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C448E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BE125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8A80A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22EC0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7568846">
            <w:pPr>
              <w:shd w:val="clear" w:color="auto" w:fill="FFFFFF"/>
              <w:adjustRightInd w:val="0"/>
              <w:snapToGrid w:val="0"/>
              <w:rPr>
                <w:rFonts w:hint="eastAsia" w:ascii="仿宋_GB2312" w:hAnsi="仿宋_GB2312" w:eastAsia="仿宋_GB2312" w:cs="仿宋_GB2312"/>
                <w:color w:val="auto"/>
                <w:sz w:val="18"/>
                <w:szCs w:val="18"/>
                <w:highlight w:val="none"/>
              </w:rPr>
            </w:pPr>
          </w:p>
          <w:p w14:paraId="337AA6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C5C97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7EF8A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BF95E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137EF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A5B8B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033EA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CE693D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D1207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80903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5536A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7D1DD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3C481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55C9F2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FDB14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9549D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546081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A252D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C53A4C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09D13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A88BF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27F50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EC6B7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559A4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90E13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F11D5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8FF849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25CB9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AFA99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982D1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44B096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AEA3D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71869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D6A80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4039F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675359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1F97F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0CDBA90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74845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65259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0FE9E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9F613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E3D66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A6DC4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6286E3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8B6BD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038BB2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1C379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F2088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E3B69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E1A80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1F293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FFCC82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564A77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926D0F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7B0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F0125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56</w:t>
            </w:r>
          </w:p>
        </w:tc>
        <w:tc>
          <w:tcPr>
            <w:tcW w:w="608" w:type="dxa"/>
            <w:noWrap w:val="0"/>
            <w:vAlign w:val="center"/>
          </w:tcPr>
          <w:p w14:paraId="766AB2F2">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对在森林防火期内进入森林防火区的机动车未安装森林防火装置行为的处罚</w:t>
            </w:r>
          </w:p>
        </w:tc>
        <w:tc>
          <w:tcPr>
            <w:tcW w:w="607" w:type="dxa"/>
            <w:noWrap w:val="0"/>
            <w:vAlign w:val="center"/>
          </w:tcPr>
          <w:p w14:paraId="09134C8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1B8553C">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0222043000</w:t>
            </w:r>
          </w:p>
        </w:tc>
        <w:tc>
          <w:tcPr>
            <w:tcW w:w="1538" w:type="dxa"/>
            <w:noWrap w:val="0"/>
            <w:vAlign w:val="center"/>
          </w:tcPr>
          <w:p w14:paraId="5E7F5A4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【行政法规】《森林防火条例》（2008年国务院令第541号修改）</w:t>
            </w:r>
          </w:p>
          <w:p w14:paraId="5F1A159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第五十二条违反本条例规定，有下列行为之一的，由县级以上地方人民政府林业主管部门责令改正，给予警告，对个人并处200元以上2000元以下罚款，对单位并处2000元以上5000元以下罚款：</w:t>
            </w:r>
          </w:p>
          <w:p w14:paraId="644F2DD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（一）森林防火期内，森林、林木、林地的经营单位未设置森林防火警示宣传标志的；</w:t>
            </w:r>
          </w:p>
          <w:p w14:paraId="3B980705">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（二）森林防火期内，进入森林防火区的机动车辆未安装森林防火装置的；</w:t>
            </w:r>
          </w:p>
          <w:p w14:paraId="6BDC279E">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（三）森林高火险期内，未经批准擅自进入森林高火险区活动的</w:t>
            </w:r>
          </w:p>
        </w:tc>
        <w:tc>
          <w:tcPr>
            <w:tcW w:w="607" w:type="dxa"/>
            <w:noWrap w:val="0"/>
            <w:vAlign w:val="center"/>
          </w:tcPr>
          <w:p w14:paraId="3759C472">
            <w:pPr>
              <w:jc w:val="left"/>
              <w:rPr>
                <w:rFonts w:hint="eastAsia" w:ascii="仿宋_GB2312" w:hAnsi="仿宋_GB2312" w:eastAsia="仿宋_GB2312" w:cs="仿宋_GB2312"/>
                <w:color w:val="auto"/>
                <w:sz w:val="18"/>
                <w:szCs w:val="18"/>
                <w:highlight w:val="none"/>
              </w:rPr>
            </w:pPr>
          </w:p>
          <w:p w14:paraId="172D0E90">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对在森林防火期内进入森林防火区的机动车未安装森林防火装置行为的处罚</w:t>
            </w:r>
          </w:p>
        </w:tc>
        <w:tc>
          <w:tcPr>
            <w:tcW w:w="1899" w:type="dxa"/>
            <w:noWrap w:val="0"/>
            <w:vAlign w:val="center"/>
          </w:tcPr>
          <w:p w14:paraId="1ACD26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A469C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3143DB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9A391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4F06F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B8240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4AFF32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7E78634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6E4453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192FC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7C2C1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07E9EC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F6A8D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88673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C7EB3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F28A3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76D420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C1BE1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69793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B80B5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BD15E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F0AF5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A5E69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ED3E8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02719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E0CB1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2A716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75D4F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3F1D2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7B5314B">
            <w:pPr>
              <w:shd w:val="clear" w:color="auto" w:fill="FFFFFF"/>
              <w:adjustRightInd w:val="0"/>
              <w:snapToGrid w:val="0"/>
              <w:rPr>
                <w:rFonts w:hint="eastAsia" w:ascii="仿宋_GB2312" w:hAnsi="仿宋_GB2312" w:eastAsia="仿宋_GB2312" w:cs="仿宋_GB2312"/>
                <w:color w:val="auto"/>
                <w:sz w:val="18"/>
                <w:szCs w:val="18"/>
                <w:highlight w:val="none"/>
              </w:rPr>
            </w:pPr>
          </w:p>
          <w:p w14:paraId="7659C4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56751D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13C68B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B9E53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EC128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FB0C5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A716B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6DECE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388225A">
            <w:pPr>
              <w:shd w:val="clear" w:color="auto" w:fill="FFFFFF"/>
              <w:adjustRightInd w:val="0"/>
              <w:snapToGrid w:val="0"/>
              <w:rPr>
                <w:rFonts w:hint="eastAsia" w:ascii="仿宋_GB2312" w:hAnsi="仿宋_GB2312" w:eastAsia="仿宋_GB2312" w:cs="仿宋_GB2312"/>
                <w:color w:val="auto"/>
                <w:sz w:val="18"/>
                <w:szCs w:val="18"/>
                <w:highlight w:val="none"/>
              </w:rPr>
            </w:pPr>
          </w:p>
          <w:p w14:paraId="7A62D6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35305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DBC5B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0AB44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1C7F2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6B7B4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946CC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B29544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92EBD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DDDD9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8C946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29052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AC268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21C0E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8BC16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3A225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98BC4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56493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7D70B2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551B9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1D3F5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3F7DF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30C1D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FFD69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78AF5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02530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B52AFE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60C02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24417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D831F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79B8D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F7B78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5DAF1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DAFB8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5155C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1C3EEF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A6A0F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28779C7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35402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FBB8D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FDF60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33989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6B327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3A400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9ADC5E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154ED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78AD87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4DC64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B4419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AE346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853C8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0AC74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564E31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A8199D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9ADB0A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2B1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5CDFF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57</w:t>
            </w:r>
          </w:p>
        </w:tc>
        <w:tc>
          <w:tcPr>
            <w:tcW w:w="608" w:type="dxa"/>
            <w:noWrap w:val="0"/>
            <w:vAlign w:val="center"/>
          </w:tcPr>
          <w:p w14:paraId="3CBA058D">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对在森林高火险期内擅自进入森林高火险区活动行为的处罚</w:t>
            </w:r>
          </w:p>
        </w:tc>
        <w:tc>
          <w:tcPr>
            <w:tcW w:w="607" w:type="dxa"/>
            <w:noWrap w:val="0"/>
            <w:vAlign w:val="center"/>
          </w:tcPr>
          <w:p w14:paraId="345B54F5">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6B1C6AA">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0222044000</w:t>
            </w:r>
          </w:p>
        </w:tc>
        <w:tc>
          <w:tcPr>
            <w:tcW w:w="1538" w:type="dxa"/>
            <w:noWrap w:val="0"/>
            <w:vAlign w:val="center"/>
          </w:tcPr>
          <w:p w14:paraId="3AC189F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【行政法规】《森林防火条例》（2008年国务院令第541号修改）</w:t>
            </w:r>
          </w:p>
          <w:p w14:paraId="4FD2B1F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第五十二条违反本条例规定，有下列行为之一的，由县级以上地方人民政府林业主管部门责令改正，给予警告，对个人并处200元以上2000元以下罚款，对单位并处2000元以上5000元以下罚款：</w:t>
            </w:r>
          </w:p>
          <w:p w14:paraId="13012F6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（一）森林防火期内，森林、林木、林地的经营单位未设置森林防火警示宣传标志的；</w:t>
            </w:r>
          </w:p>
          <w:p w14:paraId="51DFFF4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（二）森林防火期内，进入森林防火区的机动车辆未安装森林防火装置的；</w:t>
            </w:r>
          </w:p>
          <w:p w14:paraId="7AD7CF7C">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（三）森林高火险期内，未经批准擅自进入森林高火险区活动的。</w:t>
            </w:r>
          </w:p>
        </w:tc>
        <w:tc>
          <w:tcPr>
            <w:tcW w:w="607" w:type="dxa"/>
            <w:noWrap w:val="0"/>
            <w:vAlign w:val="center"/>
          </w:tcPr>
          <w:p w14:paraId="590DC47F">
            <w:pPr>
              <w:jc w:val="left"/>
              <w:rPr>
                <w:rFonts w:hint="eastAsia" w:ascii="仿宋_GB2312" w:hAnsi="仿宋_GB2312" w:eastAsia="仿宋_GB2312" w:cs="仿宋_GB2312"/>
                <w:color w:val="auto"/>
                <w:sz w:val="18"/>
                <w:szCs w:val="18"/>
                <w:highlight w:val="none"/>
              </w:rPr>
            </w:pPr>
          </w:p>
          <w:p w14:paraId="4B01140C">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对在森林高火险期内擅自进入森林高火险区活动行为的处罚</w:t>
            </w:r>
          </w:p>
        </w:tc>
        <w:tc>
          <w:tcPr>
            <w:tcW w:w="1899" w:type="dxa"/>
            <w:noWrap w:val="0"/>
            <w:vAlign w:val="center"/>
          </w:tcPr>
          <w:p w14:paraId="4ED109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19E27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C7234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C41B1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7606D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4E4D5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612366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9C6B7E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CC2F4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B524F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05C35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26B4B88">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2D6B39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5C181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3EF881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17F5B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F4375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B9F13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D9670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7334D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DC847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A4EA4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6D176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F4171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F4D8D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01B552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90B7E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C754A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78AEF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5C31BBF">
            <w:pPr>
              <w:shd w:val="clear" w:color="auto" w:fill="FFFFFF"/>
              <w:adjustRightInd w:val="0"/>
              <w:snapToGrid w:val="0"/>
              <w:rPr>
                <w:rFonts w:hint="eastAsia" w:ascii="仿宋_GB2312" w:hAnsi="仿宋_GB2312" w:eastAsia="仿宋_GB2312" w:cs="仿宋_GB2312"/>
                <w:color w:val="auto"/>
                <w:sz w:val="18"/>
                <w:szCs w:val="18"/>
                <w:highlight w:val="none"/>
              </w:rPr>
            </w:pPr>
          </w:p>
          <w:p w14:paraId="7BD572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828D3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4F726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F13F7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03BCF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D7300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78CB6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7C327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5B4C4C2">
            <w:pPr>
              <w:shd w:val="clear" w:color="auto" w:fill="FFFFFF"/>
              <w:adjustRightInd w:val="0"/>
              <w:snapToGrid w:val="0"/>
              <w:rPr>
                <w:rFonts w:hint="eastAsia" w:ascii="仿宋_GB2312" w:hAnsi="仿宋_GB2312" w:eastAsia="仿宋_GB2312" w:cs="仿宋_GB2312"/>
                <w:color w:val="auto"/>
                <w:sz w:val="18"/>
                <w:szCs w:val="18"/>
                <w:highlight w:val="none"/>
              </w:rPr>
            </w:pPr>
          </w:p>
          <w:p w14:paraId="5F103E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D836E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CEEAA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48335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B6545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8FDD0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E4853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62F3FD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96640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743D7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03435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860D4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961CE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71323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4E16B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852FF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5E762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F22D1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1545F93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95FEE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A9789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79C38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0CDDF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5262B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1C78F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36244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BBEF4D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4D64B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68349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9E546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8EB8C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DF6DE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1D045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62256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0F8F3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FA80DC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BD62C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E13B9F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D6FDA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BFBAF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48399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B258B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B943A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3BDD2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427634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DC880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95ECE6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324F8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B1704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062B1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875A0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3B650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787C47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E5292F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D56E0C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3BE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65587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58</w:t>
            </w:r>
          </w:p>
        </w:tc>
        <w:tc>
          <w:tcPr>
            <w:tcW w:w="608" w:type="dxa"/>
            <w:noWrap w:val="0"/>
            <w:vAlign w:val="center"/>
          </w:tcPr>
          <w:p w14:paraId="1DAAE82A">
            <w:pPr>
              <w:adjustRightInd w:val="0"/>
              <w:snapToGrid w:val="0"/>
              <w:jc w:val="left"/>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对用带有危险性病虫害 的林木种苗进行育苗造林，或发生森林病虫害不除治、除治不力或隐瞒、虚报造成森林病虫害蔓延成灾的处罚</w:t>
            </w:r>
          </w:p>
        </w:tc>
        <w:tc>
          <w:tcPr>
            <w:tcW w:w="607" w:type="dxa"/>
            <w:noWrap w:val="0"/>
            <w:vAlign w:val="center"/>
          </w:tcPr>
          <w:p w14:paraId="639C5AE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1579AB9">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0222045000</w:t>
            </w:r>
          </w:p>
        </w:tc>
        <w:tc>
          <w:tcPr>
            <w:tcW w:w="1538" w:type="dxa"/>
            <w:noWrap w:val="0"/>
            <w:vAlign w:val="center"/>
          </w:tcPr>
          <w:p w14:paraId="7FC7AE85">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w:t>
            </w:r>
          </w:p>
          <w:p w14:paraId="0F4666A5">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【行政法规】《森林病虫害</w:t>
            </w:r>
            <w:r>
              <w:rPr>
                <w:rFonts w:hint="eastAsia" w:ascii="仿宋_GB2312" w:hAnsi="仿宋_GB2312" w:eastAsia="仿宋_GB2312" w:cs="仿宋_GB2312"/>
                <w:color w:val="auto"/>
                <w:sz w:val="18"/>
                <w:szCs w:val="18"/>
                <w:highlight w:val="none"/>
                <w:lang w:eastAsia="zh-CN"/>
              </w:rPr>
              <w:t>防治</w:t>
            </w:r>
            <w:bookmarkStart w:id="13" w:name="_GoBack"/>
            <w:bookmarkEnd w:id="13"/>
            <w:r>
              <w:rPr>
                <w:rFonts w:hint="eastAsia" w:ascii="仿宋_GB2312" w:hAnsi="仿宋_GB2312" w:eastAsia="仿宋_GB2312" w:cs="仿宋_GB2312"/>
                <w:color w:val="auto"/>
                <w:sz w:val="18"/>
                <w:szCs w:val="18"/>
                <w:highlight w:val="none"/>
              </w:rPr>
              <w:t>条例》（国务院令1989年第46号）</w:t>
            </w:r>
          </w:p>
          <w:p w14:paraId="1818E24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有下列行为之一的，责令限期除治、赔偿损失，可以并处一百元至二千元的罚款：（一）用带有危险性病虫害的林木种苗进行育苗或者造林；（二）发生森林病虫害不除治或者除治不力，造成森林病虫害蔓延成灾的；（三）隐瞒或者虚报森林病虫害情况，造成森林病虫害蔓延成灾的。</w:t>
            </w:r>
          </w:p>
          <w:p w14:paraId="311DBEB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【地方政府规章】《宁夏回族自治区林业有害生物防治办法》（2018年自治区政府令第93号）</w:t>
            </w:r>
          </w:p>
          <w:p w14:paraId="7D274CF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四条违反本办法规定，有下列行为之一的，由林业防治机构责令改正、限期除治或者销毁;逾期不除治或者销毁的，林业主管部门或者林业防治机构可以代为除治，除治费用由责任人承担，并处五百元以上二千元以下罚款;构成犯罪的，依法追究刑事责任:</w:t>
            </w:r>
          </w:p>
          <w:p w14:paraId="14E393F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(一)使用携带危险性林业有害生物的林木种子、苗木和其他繁殖材料进行育苗、树种更新或者造林的。</w:t>
            </w:r>
          </w:p>
          <w:p w14:paraId="473CE52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(二)发生林业有害生物危害不及时除治或除治不力，造成危害蔓延的。</w:t>
            </w:r>
          </w:p>
          <w:p w14:paraId="4DCB5C3C">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(三)隐瞒、虚报林业有害生物危害情况，造成危害蔓延或者发生疫情不及时报告的。</w:t>
            </w:r>
          </w:p>
        </w:tc>
        <w:tc>
          <w:tcPr>
            <w:tcW w:w="607" w:type="dxa"/>
            <w:noWrap w:val="0"/>
            <w:vAlign w:val="center"/>
          </w:tcPr>
          <w:p w14:paraId="5D9DCBDA">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对用带有危险性病虫害的林木种苗进行育苗造林，或发生森林病虫害不除治、除治不力或隐瞒、虚报造成森林病虫害蔓延成灾的处罚</w:t>
            </w:r>
          </w:p>
        </w:tc>
        <w:tc>
          <w:tcPr>
            <w:tcW w:w="1899" w:type="dxa"/>
            <w:noWrap w:val="0"/>
            <w:vAlign w:val="center"/>
          </w:tcPr>
          <w:p w14:paraId="1C74D5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BA912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5C08F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D9A65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E78D1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3A268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C133FE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1183ED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6F4D3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332B3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22C8E5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78E98A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7F215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3F81A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0C07A1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E2D91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0A3B2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BD6FC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DC8E1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5A009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81129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7CF3D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63D525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DEB22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87F45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3A6D8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0F090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F2FA2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9AA17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6501B36">
            <w:pPr>
              <w:shd w:val="clear" w:color="auto" w:fill="FFFFFF"/>
              <w:adjustRightInd w:val="0"/>
              <w:snapToGrid w:val="0"/>
              <w:rPr>
                <w:rFonts w:hint="eastAsia" w:ascii="仿宋_GB2312" w:hAnsi="仿宋_GB2312" w:eastAsia="仿宋_GB2312" w:cs="仿宋_GB2312"/>
                <w:color w:val="auto"/>
                <w:sz w:val="18"/>
                <w:szCs w:val="18"/>
                <w:highlight w:val="none"/>
              </w:rPr>
            </w:pPr>
          </w:p>
          <w:p w14:paraId="00E66E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AD009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A3441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DA980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65C797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D60DA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3EBBF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14D58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B024716">
            <w:pPr>
              <w:shd w:val="clear" w:color="auto" w:fill="FFFFFF"/>
              <w:adjustRightInd w:val="0"/>
              <w:snapToGrid w:val="0"/>
              <w:rPr>
                <w:rFonts w:hint="eastAsia" w:ascii="仿宋_GB2312" w:hAnsi="仿宋_GB2312" w:eastAsia="仿宋_GB2312" w:cs="仿宋_GB2312"/>
                <w:color w:val="auto"/>
                <w:sz w:val="18"/>
                <w:szCs w:val="18"/>
                <w:highlight w:val="none"/>
              </w:rPr>
            </w:pPr>
          </w:p>
          <w:p w14:paraId="59BD4D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D62F8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07E69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D17C3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12CCD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61D61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B79BE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575FF0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46AC09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84779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C3259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C869D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B9C6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C71C6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3A171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34773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1F172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98CA4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A02F94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32A8B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67CEE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AA487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058A6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55B5A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1EADE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BF9D0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F82FB1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10475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68F9C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441E3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49AF3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DB898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0EB77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A82C4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F52ED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E0CBC21">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66530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213435F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8DF21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358C6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F374C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E9123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D1CAE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4B158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A98681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DC387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82FC24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89F53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E1C45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5A906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AD673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9D4E4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3D0875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CD0ED3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BAEBBA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CF1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868D6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59</w:t>
            </w:r>
          </w:p>
        </w:tc>
        <w:tc>
          <w:tcPr>
            <w:tcW w:w="608" w:type="dxa"/>
            <w:noWrap w:val="0"/>
            <w:vAlign w:val="center"/>
          </w:tcPr>
          <w:p w14:paraId="2807744D">
            <w:pPr>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对擅自向社会发布林业有害生物预警的处罚</w:t>
            </w:r>
          </w:p>
        </w:tc>
        <w:tc>
          <w:tcPr>
            <w:tcW w:w="607" w:type="dxa"/>
            <w:noWrap w:val="0"/>
            <w:vAlign w:val="center"/>
          </w:tcPr>
          <w:p w14:paraId="7E0B3165">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D19DE5A">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0222046000</w:t>
            </w:r>
          </w:p>
        </w:tc>
        <w:tc>
          <w:tcPr>
            <w:tcW w:w="1538" w:type="dxa"/>
            <w:noWrap w:val="0"/>
            <w:vAlign w:val="center"/>
          </w:tcPr>
          <w:p w14:paraId="3C72792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【地方政府规章】《宁夏回族自治区林业有害生物防治办法》（2018年自治区政府令第93号）</w:t>
            </w:r>
          </w:p>
          <w:p w14:paraId="419E2183">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第三十三条 违反本办法规定，擅自向社会发布林业有害生物预警的，由林业主管部门责令改正，消除影响，并处一千元以上三千元以下罚款；造成严重后果的，处三千元以上一万元以下罚款；构成犯罪的，依法追究刑事责任。</w:t>
            </w:r>
          </w:p>
        </w:tc>
        <w:tc>
          <w:tcPr>
            <w:tcW w:w="607" w:type="dxa"/>
            <w:noWrap w:val="0"/>
            <w:vAlign w:val="center"/>
          </w:tcPr>
          <w:p w14:paraId="4FA9C6EA">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对擅自向社会发布林业有害生物预警的处罚</w:t>
            </w:r>
          </w:p>
        </w:tc>
        <w:tc>
          <w:tcPr>
            <w:tcW w:w="1899" w:type="dxa"/>
            <w:noWrap w:val="0"/>
            <w:vAlign w:val="center"/>
          </w:tcPr>
          <w:p w14:paraId="0D2F19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FB89D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C9991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32122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A0230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ECDC6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5C705D4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EE7744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9B844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0DE39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CF7AE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00ACAE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4FE66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8C1ED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5C921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D651D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799478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05AB3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E3659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064DE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DFDE3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748BAC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140BC3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4C2BE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911A5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3013E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D019D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4B0E7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575BE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30DD6E4">
            <w:pPr>
              <w:shd w:val="clear" w:color="auto" w:fill="FFFFFF"/>
              <w:adjustRightInd w:val="0"/>
              <w:snapToGrid w:val="0"/>
              <w:rPr>
                <w:rFonts w:hint="eastAsia" w:ascii="仿宋_GB2312" w:hAnsi="仿宋_GB2312" w:eastAsia="仿宋_GB2312" w:cs="仿宋_GB2312"/>
                <w:color w:val="auto"/>
                <w:sz w:val="18"/>
                <w:szCs w:val="18"/>
                <w:highlight w:val="none"/>
              </w:rPr>
            </w:pPr>
          </w:p>
          <w:p w14:paraId="1FDA74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6D10C9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CED66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0FCCB6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519D6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E3C1B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AE9FF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1DE94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2ACF6CF">
            <w:pPr>
              <w:shd w:val="clear" w:color="auto" w:fill="FFFFFF"/>
              <w:adjustRightInd w:val="0"/>
              <w:snapToGrid w:val="0"/>
              <w:rPr>
                <w:rFonts w:hint="eastAsia" w:ascii="仿宋_GB2312" w:hAnsi="仿宋_GB2312" w:eastAsia="仿宋_GB2312" w:cs="仿宋_GB2312"/>
                <w:color w:val="auto"/>
                <w:sz w:val="18"/>
                <w:szCs w:val="18"/>
                <w:highlight w:val="none"/>
              </w:rPr>
            </w:pPr>
          </w:p>
          <w:p w14:paraId="4D4AB3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9DCBA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0ECE1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5DF88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F3BE1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E261B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813A2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BA3022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EC147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762C6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2B240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F64D9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D769C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3FEDA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D2E32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18627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8A7AA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70537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6C5B5F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75AFF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A0E4D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71D3B1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B80A1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6C7748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DA9C4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DAEA9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7194F52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744C4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4903C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DE80B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D65C8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163C3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B749D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CBF71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0D40D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C87DF1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B9CD4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138E6D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B5F63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59669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F4FA8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6A287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9EE12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F17C6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9D6F58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2B09E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839F4B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08FA5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316589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0F566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4F764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BAF14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7C31FC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9FF0C6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031B5A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686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ED889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60</w:t>
            </w:r>
          </w:p>
        </w:tc>
        <w:tc>
          <w:tcPr>
            <w:tcW w:w="608" w:type="dxa"/>
            <w:noWrap w:val="0"/>
            <w:vAlign w:val="center"/>
          </w:tcPr>
          <w:p w14:paraId="412DB9D0">
            <w:pPr>
              <w:rPr>
                <w:rFonts w:hint="eastAsia" w:ascii="仿宋_GB2312" w:hAnsi="仿宋_GB2312" w:eastAsia="仿宋_GB2312" w:cs="仿宋_GB2312"/>
                <w:color w:val="auto"/>
                <w:sz w:val="18"/>
                <w:szCs w:val="18"/>
                <w:highlight w:val="none"/>
              </w:rPr>
            </w:pPr>
          </w:p>
          <w:p w14:paraId="2DD9A860">
            <w:pPr>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对在林地及林地周边施工时，施工单位未按要求处理木质材料行为的处罚</w:t>
            </w:r>
          </w:p>
        </w:tc>
        <w:tc>
          <w:tcPr>
            <w:tcW w:w="607" w:type="dxa"/>
            <w:noWrap w:val="0"/>
            <w:vAlign w:val="center"/>
          </w:tcPr>
          <w:p w14:paraId="7ACFC7A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F19831A">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0222047000</w:t>
            </w:r>
          </w:p>
        </w:tc>
        <w:tc>
          <w:tcPr>
            <w:tcW w:w="1538" w:type="dxa"/>
            <w:noWrap w:val="0"/>
            <w:vAlign w:val="center"/>
          </w:tcPr>
          <w:p w14:paraId="3481AE7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【地方政府规章】《宁夏回族自治区林业有害生物防治办法》（2018年自治区政府令第93号）</w:t>
            </w:r>
          </w:p>
          <w:p w14:paraId="38392445">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第三十六条 违反本办法规定，在林地及林地周边施工时，施工单位未按要求处理木质材料的，由林业防治机构责令限期改正；逾期不改的，由林业防治机构代为收集、销毁，所需费用由施工单位或者责任人承担，并处三百元以上二千元以下罚款。</w:t>
            </w:r>
          </w:p>
        </w:tc>
        <w:tc>
          <w:tcPr>
            <w:tcW w:w="607" w:type="dxa"/>
            <w:noWrap w:val="0"/>
            <w:vAlign w:val="center"/>
          </w:tcPr>
          <w:p w14:paraId="55F535C3">
            <w:pPr>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对在林地及林地周边施工时，施工单位未按要求处理木质材料行为的处罚</w:t>
            </w:r>
          </w:p>
        </w:tc>
        <w:tc>
          <w:tcPr>
            <w:tcW w:w="1899" w:type="dxa"/>
            <w:noWrap w:val="0"/>
            <w:vAlign w:val="center"/>
          </w:tcPr>
          <w:p w14:paraId="69C20B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96FC2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DB53D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7A1F6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D2C62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1E63C0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525DF3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1FA8000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A4100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EC89B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AAD8C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0E4B3EC">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153DB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BBF2E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5CDEA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165485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1F44A8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DB1BD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C75D7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0348F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735B4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D5708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FD315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89C89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E3ED5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B90F7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7788A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E1501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9CEFB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C0D37E9">
            <w:pPr>
              <w:shd w:val="clear" w:color="auto" w:fill="FFFFFF"/>
              <w:adjustRightInd w:val="0"/>
              <w:snapToGrid w:val="0"/>
              <w:rPr>
                <w:rFonts w:hint="eastAsia" w:ascii="仿宋_GB2312" w:hAnsi="仿宋_GB2312" w:eastAsia="仿宋_GB2312" w:cs="仿宋_GB2312"/>
                <w:color w:val="auto"/>
                <w:sz w:val="18"/>
                <w:szCs w:val="18"/>
                <w:highlight w:val="none"/>
              </w:rPr>
            </w:pPr>
          </w:p>
          <w:p w14:paraId="325809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EB6EB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1FC74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256DF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B25A8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ADB4D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2DAD8C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A0B2B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DEF80C6">
            <w:pPr>
              <w:shd w:val="clear" w:color="auto" w:fill="FFFFFF"/>
              <w:adjustRightInd w:val="0"/>
              <w:snapToGrid w:val="0"/>
              <w:rPr>
                <w:rFonts w:hint="eastAsia" w:ascii="仿宋_GB2312" w:hAnsi="仿宋_GB2312" w:eastAsia="仿宋_GB2312" w:cs="仿宋_GB2312"/>
                <w:color w:val="auto"/>
                <w:sz w:val="18"/>
                <w:szCs w:val="18"/>
                <w:highlight w:val="none"/>
              </w:rPr>
            </w:pPr>
          </w:p>
          <w:p w14:paraId="23656E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28C34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B61DB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EA6AE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54444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7DA01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4E167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F0EB86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61CAB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BE5B8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E8237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8DF5E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4DB6E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46349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DBE8E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44622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1BBB7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7AA18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2D1F12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CFF71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E2F47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47347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D4B39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60816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E0712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4C7F2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FED814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E02FF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5D33F0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854F0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05DC2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6293CC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B3F79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F2D7B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0C399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A1A34F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32599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439A61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7DD1F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FF910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3B0ED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44E79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6B864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1E7298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F39845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44A54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8B5568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0F9DC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400AE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CE3E2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ED2B4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E4DD0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73DCCF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5FE82D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4EEA61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AE0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C18FB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61</w:t>
            </w:r>
          </w:p>
        </w:tc>
        <w:tc>
          <w:tcPr>
            <w:tcW w:w="608" w:type="dxa"/>
            <w:noWrap w:val="0"/>
            <w:vAlign w:val="center"/>
          </w:tcPr>
          <w:p w14:paraId="36003227">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销售、供应未经检验合格的种苗或者未附具标签、质量检验合格证、检疫合格证的种苗的处罚</w:t>
            </w:r>
          </w:p>
        </w:tc>
        <w:tc>
          <w:tcPr>
            <w:tcW w:w="607" w:type="dxa"/>
            <w:noWrap w:val="0"/>
            <w:vAlign w:val="center"/>
          </w:tcPr>
          <w:p w14:paraId="2DF2AE3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BBDFCD8">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0222048000</w:t>
            </w:r>
          </w:p>
        </w:tc>
        <w:tc>
          <w:tcPr>
            <w:tcW w:w="1538" w:type="dxa"/>
            <w:noWrap w:val="0"/>
            <w:vAlign w:val="center"/>
          </w:tcPr>
          <w:p w14:paraId="421940EF">
            <w:pPr>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【行政法规】《退耕还林条例》（2016年国务院令第666号修改）                                           </w:t>
            </w:r>
          </w:p>
          <w:p w14:paraId="469E78DA">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xml:space="preserve">    第六十条 销售、供应未经检验合格的种苗或者未附具标签、质量检验合格证、检疫合格证的种苗的，依照刑法关于生产、销售伪劣种子罪或者其他罪的规定，依法追究刑事责任；尚不够刑事处罚的，由县级以上人民政府林业、农业行政主管部门或者工商行政管理机关依照种子法的规定处理；种子法未作规定的，由县级以上人民政府林业、农业行政主管部门依据职权处以非法经营额２倍以上５倍以下的罚款。</w:t>
            </w:r>
          </w:p>
        </w:tc>
        <w:tc>
          <w:tcPr>
            <w:tcW w:w="607" w:type="dxa"/>
            <w:noWrap w:val="0"/>
            <w:vAlign w:val="center"/>
          </w:tcPr>
          <w:p w14:paraId="6AE0B18B">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对销售、供应未经检验合格的种苗或者未附具标签、质量检验合格证、检疫合格证的种苗的处罚</w:t>
            </w:r>
          </w:p>
        </w:tc>
        <w:tc>
          <w:tcPr>
            <w:tcW w:w="1899" w:type="dxa"/>
            <w:noWrap w:val="0"/>
            <w:vAlign w:val="center"/>
          </w:tcPr>
          <w:p w14:paraId="3E8EC6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7318C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3C2A8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F30C3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8FC01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53E05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769A8E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832E25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88A91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5E3830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2B821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5F5551F">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423ED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48E86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7AFFC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297E4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C73B0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790D8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6FB43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4816D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2D5CFE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822F4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E262E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88610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B8988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733CC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98BC5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7A48CF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5C2D3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62B26BD">
            <w:pPr>
              <w:shd w:val="clear" w:color="auto" w:fill="FFFFFF"/>
              <w:adjustRightInd w:val="0"/>
              <w:snapToGrid w:val="0"/>
              <w:rPr>
                <w:rFonts w:hint="eastAsia" w:ascii="仿宋_GB2312" w:hAnsi="仿宋_GB2312" w:eastAsia="仿宋_GB2312" w:cs="仿宋_GB2312"/>
                <w:color w:val="auto"/>
                <w:sz w:val="18"/>
                <w:szCs w:val="18"/>
                <w:highlight w:val="none"/>
              </w:rPr>
            </w:pPr>
          </w:p>
          <w:p w14:paraId="6B64F7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2E583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E8053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03CAD6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077541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DF8D7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EEEFD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86D10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0876663">
            <w:pPr>
              <w:shd w:val="clear" w:color="auto" w:fill="FFFFFF"/>
              <w:adjustRightInd w:val="0"/>
              <w:snapToGrid w:val="0"/>
              <w:rPr>
                <w:rFonts w:hint="eastAsia" w:ascii="仿宋_GB2312" w:hAnsi="仿宋_GB2312" w:eastAsia="仿宋_GB2312" w:cs="仿宋_GB2312"/>
                <w:color w:val="auto"/>
                <w:sz w:val="18"/>
                <w:szCs w:val="18"/>
                <w:highlight w:val="none"/>
              </w:rPr>
            </w:pPr>
          </w:p>
          <w:p w14:paraId="6D5D3A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5EC44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784E4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296CC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520C4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09381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4A3A3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6A0C01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04498D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2227C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3443B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B6871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B4BC0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755D5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1428A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3D3E2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093F5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62341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7EF0DA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3123A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83A99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713073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208E1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4B72B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3B3EB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629275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27E11C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31A7B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DE327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45119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053E9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93232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DAEED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6DEBB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8681D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F5C38C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052FC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7137D3A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43BCF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D30D1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87C65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7519A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1F19A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28D24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557AF5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9E379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EE78D0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F2081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2F9CA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8A240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BD1A6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8A34E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A8FD30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E6E036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C0A443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B66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010ADC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62</w:t>
            </w:r>
          </w:p>
        </w:tc>
        <w:tc>
          <w:tcPr>
            <w:tcW w:w="608" w:type="dxa"/>
            <w:noWrap w:val="0"/>
            <w:vAlign w:val="center"/>
          </w:tcPr>
          <w:p w14:paraId="5337D2B0">
            <w:pPr>
              <w:adjustRightInd w:val="0"/>
              <w:snapToGrid w:val="0"/>
              <w:jc w:val="left"/>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未依照规定办理植物检疫证书或者在报检过程中弄虚作假；伪造、涂改、买卖、转让植物检疫单证、印章、标志、封识的；未依照本条例规定调运、隔离试种或者生产应施检疫的植物、植物产品；擅自开拆植物、植物产品包装，调换植物、植物产品，或者擅自改变植物、植物产品的规定用途；引起疫情扩散等行为的处罚</w:t>
            </w:r>
          </w:p>
        </w:tc>
        <w:tc>
          <w:tcPr>
            <w:tcW w:w="607" w:type="dxa"/>
            <w:noWrap w:val="0"/>
            <w:vAlign w:val="center"/>
          </w:tcPr>
          <w:p w14:paraId="1A083687">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C9C5D84">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0222049000</w:t>
            </w:r>
          </w:p>
        </w:tc>
        <w:tc>
          <w:tcPr>
            <w:tcW w:w="1538" w:type="dxa"/>
            <w:noWrap w:val="0"/>
            <w:vAlign w:val="center"/>
          </w:tcPr>
          <w:p w14:paraId="50512D8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【行政法规】《中华人民共和国植物检疫条例》（2017国务院令 第687号修订）</w:t>
            </w:r>
          </w:p>
          <w:p w14:paraId="746AB86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八条有下列行为之一的，植物检疫机构应当责令纠正，可以处以罚款；造成损失的，应当负责赔偿；构成犯罪的，由司法机关依法追究刑事责任：（一）未依照本条例规定办理植物检疫证书或者在报检过程中弄虚作假的；（二）伪造、涂改、买卖、转让植物检疫单证、印章、标志、封识的；（三）未依照本条例规定调运、隔离试种或者生产应施检疫的植物、植物产品的；（四）违反本条例规定，擅自开拆植物、植物产品包装，调换植物、植物产品，或者擅自改变植物、植物产品的规定用途的；（五）违反本条例规定，引起疫情扩散的。有前款第（一）、（二）、（三）、（四）项所列情形之一，尚不构成犯罪的，植物检疫机构可以没收非法所得。对违反本条例规定调运的植物和植物产品，植物检疫机构有权予以封存、没收、销毁或者责令改变用途。销毁所需费用由责任人承担。</w:t>
            </w:r>
          </w:p>
          <w:p w14:paraId="1E4EBE2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【部门规章】《植物检疫条例实施细则（林业部分）》(2011年国家林业局令第26号)</w:t>
            </w:r>
          </w:p>
          <w:p w14:paraId="7E5EAE3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第三十条　有下列行为之一的，森检机构应当责令纠正，可以处以50元至2000元罚款；造成损失的，应当责令赔偿，构成犯罪的，由司法机关依法追究刑事责任：（1）未依照规定办理《植物检疫证书》或者在报检过程中弄虚作假的；（2）伪造、涂改、买卖、转让植物检疫单证、印章、标志、封识的；（3）未依照规定调运、隔离试种或者生产应施检疫的森林植物及其产品的；（4）违反规定，擅自开拆森林植物及其产品的包装，调换森林植物及其产品，或者擅自改变森林植物产品的规定用途的；（5）违反规定，引起疫情扩散的。有前款第（1）、（2）、（3）、（4）项所列情形之一，尚不构成犯罪的，森检机构可以没收非法所得。对违反规定调运的森林植物及其产品，森检机构有权予以封存、没收、销毁或者责令改变用途，销毁所需费用由责任人承担。</w:t>
            </w:r>
          </w:p>
          <w:p w14:paraId="5EE6B32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【行政法规】《森林病虫害防治条例》（国务院令1989年第46号）</w:t>
            </w:r>
          </w:p>
          <w:p w14:paraId="6F4D558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第二十三条违反</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 HYPERLINK "https://baike.so.com/doc/5576317-5790002.html"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植物检疫</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法规调运林木种苗或者木材的，除依照植物检疫法规处罚外，并可处50元至2000元的罚款。</w:t>
            </w:r>
          </w:p>
          <w:p w14:paraId="71506B5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【地方政府规章】《宁夏回族自治区林业有害生物防治办法》（2018年自治区政府令第93号）</w:t>
            </w:r>
          </w:p>
          <w:p w14:paraId="0197795D">
            <w:pPr>
              <w:adjustRightInd w:val="0"/>
              <w:snapToGrid w:val="0"/>
              <w:ind w:firstLine="345"/>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第三十五条 违反本办法规定，没有按照规定程序调运，或者持无效的《植物检疫证书》调运应施检疫的林业植物及其产品的，由林业防治机构没收违法所得，对相关林业植物及其产品进行封存、没收、责令销毁或者利用其他方式进行除害处理、改变用途等处置，所需费用由调入单位或者个人承担，可并处五百元以上二千元以下罚款；构成犯罪的，依法追究刑事</w:t>
            </w:r>
          </w:p>
          <w:p w14:paraId="7A9F8EEC">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责任。</w:t>
            </w:r>
          </w:p>
        </w:tc>
        <w:tc>
          <w:tcPr>
            <w:tcW w:w="607" w:type="dxa"/>
            <w:noWrap w:val="0"/>
            <w:vAlign w:val="center"/>
          </w:tcPr>
          <w:p w14:paraId="3EF6867B">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未依照规定办理植物检疫证书或者在报检过程中弄虚作假；伪造、涂改、买卖、转让植物检疫单证、印章、标志、封识的；未依照本条例规定调运、隔离试种或者生产应施检疫的植物、植物产品；擅自开拆植物、植物产品包装，调换植物、植物产品，或者擅自改变植物、植物产品的规定用途；引起疫情扩散等行为的处罚</w:t>
            </w:r>
          </w:p>
        </w:tc>
        <w:tc>
          <w:tcPr>
            <w:tcW w:w="1899" w:type="dxa"/>
            <w:noWrap w:val="0"/>
            <w:vAlign w:val="center"/>
          </w:tcPr>
          <w:p w14:paraId="0C700A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279631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28D35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2E815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16B70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79E4A8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3D74DC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ED0F26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340C9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41CD7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E7944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506E0D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0C1B2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A97B5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75C70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27CF3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DB55F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E714F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CC41E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883CB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27C25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85717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4B937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C1607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3C16D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CCC5E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2C0F2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310AA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CF89E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CDC3737">
            <w:pPr>
              <w:shd w:val="clear" w:color="auto" w:fill="FFFFFF"/>
              <w:adjustRightInd w:val="0"/>
              <w:snapToGrid w:val="0"/>
              <w:rPr>
                <w:rFonts w:hint="eastAsia" w:ascii="仿宋_GB2312" w:hAnsi="仿宋_GB2312" w:eastAsia="仿宋_GB2312" w:cs="仿宋_GB2312"/>
                <w:color w:val="auto"/>
                <w:sz w:val="18"/>
                <w:szCs w:val="18"/>
                <w:highlight w:val="none"/>
              </w:rPr>
            </w:pPr>
          </w:p>
          <w:p w14:paraId="5B886B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6A198C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5287A5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F3CA6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A307A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058D4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9FF06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6DE7D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F1E5E32">
            <w:pPr>
              <w:shd w:val="clear" w:color="auto" w:fill="FFFFFF"/>
              <w:adjustRightInd w:val="0"/>
              <w:snapToGrid w:val="0"/>
              <w:rPr>
                <w:rFonts w:hint="eastAsia" w:ascii="仿宋_GB2312" w:hAnsi="仿宋_GB2312" w:eastAsia="仿宋_GB2312" w:cs="仿宋_GB2312"/>
                <w:color w:val="auto"/>
                <w:sz w:val="18"/>
                <w:szCs w:val="18"/>
                <w:highlight w:val="none"/>
              </w:rPr>
            </w:pPr>
          </w:p>
          <w:p w14:paraId="73A0B7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D2570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02916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812AD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F48F5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B8E5C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BDE5F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43102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062F149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3C9C2D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6FEB2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C150D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09EE4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4C16A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0C4C6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0F49B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B2B3E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E49B9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B81F9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7614F5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E7B9A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9EF77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5CCADF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31165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4C9A0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6D61D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A5EC4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D522E1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668B9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D6485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B2960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E341B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D4A52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A5634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EEA8C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23B06D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6CA290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EDA6D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CFA0DC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E06C0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52810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182F8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49900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B5B1B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A3C6B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B5876C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F89ED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F80EB5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DB621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AA3D4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1045A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E16D8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D44C5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E8052F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A1E128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6A2169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A72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CDDC5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63</w:t>
            </w:r>
          </w:p>
        </w:tc>
        <w:tc>
          <w:tcPr>
            <w:tcW w:w="608" w:type="dxa"/>
            <w:noWrap w:val="0"/>
            <w:vAlign w:val="center"/>
          </w:tcPr>
          <w:p w14:paraId="6E5860B8">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对在种子生产基地进行检疫性有害生物接种试验行为的处罚</w:t>
            </w:r>
          </w:p>
        </w:tc>
        <w:tc>
          <w:tcPr>
            <w:tcW w:w="607" w:type="dxa"/>
            <w:noWrap w:val="0"/>
            <w:vAlign w:val="center"/>
          </w:tcPr>
          <w:p w14:paraId="2ED7309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708B7A25">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0222050000</w:t>
            </w:r>
          </w:p>
        </w:tc>
        <w:tc>
          <w:tcPr>
            <w:tcW w:w="1538" w:type="dxa"/>
            <w:noWrap w:val="0"/>
            <w:vAlign w:val="center"/>
          </w:tcPr>
          <w:p w14:paraId="77C3D624">
            <w:pPr>
              <w:adjustRightInd w:val="0"/>
              <w:snapToGrid w:val="0"/>
              <w:ind w:firstLine="360" w:firstLineChars="200"/>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kern w:val="2"/>
                <w:sz w:val="18"/>
                <w:szCs w:val="18"/>
                <w:lang w:val="en-US" w:eastAsia="zh-CN" w:bidi="ar-SA"/>
              </w:rPr>
              <w:t>【法律】《中华人民共和国种子法》（2021修订）</w:t>
            </w:r>
          </w:p>
          <w:p w14:paraId="28A99B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第五十三条　从事品种选育和种子生产经营以及管理的单位和个人应当遵守有关植物检疫法律、行政法规的规定，防止植物危险性病、虫、杂草及其他有害生物的传播和蔓延。</w:t>
            </w:r>
          </w:p>
          <w:p w14:paraId="026E3B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禁止任何单位和个人在种子生产基地从事检疫性有害生物接种试验。</w:t>
            </w:r>
          </w:p>
          <w:p w14:paraId="6086BD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第八十五条　违反本法第五十三条规定，在种子生产基地进行检疫性有害生物接种试验的，由县级以上人民政府农业农村、林业草原主管部门责令停止试验，处五千元以上五万元以下罚款。</w:t>
            </w:r>
          </w:p>
          <w:p w14:paraId="7D90CD2A">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p>
        </w:tc>
        <w:tc>
          <w:tcPr>
            <w:tcW w:w="607" w:type="dxa"/>
            <w:noWrap w:val="0"/>
            <w:vAlign w:val="center"/>
          </w:tcPr>
          <w:p w14:paraId="43F040FE">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对在种子生产基地进行检疫性有害生物接种试验行为的处罚</w:t>
            </w:r>
          </w:p>
        </w:tc>
        <w:tc>
          <w:tcPr>
            <w:tcW w:w="1899" w:type="dxa"/>
            <w:noWrap w:val="0"/>
            <w:vAlign w:val="center"/>
          </w:tcPr>
          <w:p w14:paraId="419CFB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43798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A8585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F3155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45B18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FE358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3F5B86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DB93A4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5F14A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8FE07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CB7C3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629F1C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795B5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B4CBE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74BA17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70606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426F5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2291A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A0D6A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503F2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085EC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DC79D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627646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308EC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B519D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40429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6F459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7ABE4D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4980D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047A5D5">
            <w:pPr>
              <w:shd w:val="clear" w:color="auto" w:fill="FFFFFF"/>
              <w:adjustRightInd w:val="0"/>
              <w:snapToGrid w:val="0"/>
              <w:rPr>
                <w:rFonts w:hint="eastAsia" w:ascii="仿宋_GB2312" w:hAnsi="仿宋_GB2312" w:eastAsia="仿宋_GB2312" w:cs="仿宋_GB2312"/>
                <w:color w:val="auto"/>
                <w:sz w:val="18"/>
                <w:szCs w:val="18"/>
                <w:highlight w:val="none"/>
              </w:rPr>
            </w:pPr>
          </w:p>
          <w:p w14:paraId="1FDC54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BFC96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32C4A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9A18E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6D2B2A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AD051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6FE83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9AF4B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5EFD2AC">
            <w:pPr>
              <w:shd w:val="clear" w:color="auto" w:fill="FFFFFF"/>
              <w:adjustRightInd w:val="0"/>
              <w:snapToGrid w:val="0"/>
              <w:rPr>
                <w:rFonts w:hint="eastAsia" w:ascii="仿宋_GB2312" w:hAnsi="仿宋_GB2312" w:eastAsia="仿宋_GB2312" w:cs="仿宋_GB2312"/>
                <w:color w:val="auto"/>
                <w:sz w:val="18"/>
                <w:szCs w:val="18"/>
                <w:highlight w:val="none"/>
              </w:rPr>
            </w:pPr>
          </w:p>
          <w:p w14:paraId="17451E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39C9E4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9BE09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42319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99EE5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7AE0A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51EEE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CD400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1B4E2D5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1026" w:type="dxa"/>
            <w:noWrap w:val="0"/>
            <w:vAlign w:val="center"/>
          </w:tcPr>
          <w:p w14:paraId="3F7F18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07D4B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A4065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767BC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6278B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658DC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81AD4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8AE6C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5CA42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D67A9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B3BB20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E0300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EBA03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D151D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87A7A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A8CFD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3D1D1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AAB8E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3067E8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0A62B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85802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97DAD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4883B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3752D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C8DC4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FB735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237397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A30E7B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1606FF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D3526F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7B283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5B9A7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D697C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92B78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FFC51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40B72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FFBAC7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ED4BA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A87ABB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43F34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769E7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A7553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CAEDE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B9E74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FD6697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669952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8EE4BA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30B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A15482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64</w:t>
            </w:r>
          </w:p>
        </w:tc>
        <w:tc>
          <w:tcPr>
            <w:tcW w:w="608" w:type="dxa"/>
            <w:noWrap w:val="0"/>
            <w:vAlign w:val="center"/>
          </w:tcPr>
          <w:p w14:paraId="56137BA0">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对运输或者邮寄未取得检疫证书的林木种苗行为的处罚</w:t>
            </w:r>
          </w:p>
        </w:tc>
        <w:tc>
          <w:tcPr>
            <w:tcW w:w="607" w:type="dxa"/>
            <w:noWrap w:val="0"/>
            <w:vAlign w:val="center"/>
          </w:tcPr>
          <w:p w14:paraId="748E493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FB0F0D2">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0222051000</w:t>
            </w:r>
          </w:p>
        </w:tc>
        <w:tc>
          <w:tcPr>
            <w:tcW w:w="1538" w:type="dxa"/>
            <w:noWrap w:val="0"/>
            <w:vAlign w:val="center"/>
          </w:tcPr>
          <w:p w14:paraId="64EA33F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【法律】《中华人民共和国种子法》（20</w:t>
            </w:r>
            <w:r>
              <w:rPr>
                <w:rFonts w:hint="eastAsia" w:ascii="仿宋_GB2312" w:hAnsi="仿宋_GB2312" w:eastAsia="仿宋_GB2312" w:cs="仿宋_GB2312"/>
                <w:color w:val="auto"/>
                <w:sz w:val="18"/>
                <w:szCs w:val="18"/>
                <w:highlight w:val="none"/>
                <w:lang w:val="en-US" w:eastAsia="zh-CN"/>
              </w:rPr>
              <w:t>21</w:t>
            </w:r>
            <w:r>
              <w:rPr>
                <w:rFonts w:hint="eastAsia" w:ascii="仿宋_GB2312" w:hAnsi="仿宋_GB2312" w:eastAsia="仿宋_GB2312" w:cs="仿宋_GB2312"/>
                <w:color w:val="auto"/>
                <w:sz w:val="18"/>
                <w:szCs w:val="18"/>
                <w:highlight w:val="none"/>
              </w:rPr>
              <w:t>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7389EDC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第四十二条　运输或者邮寄种子应当依照有关法律、行政法规的规定进行检疫</w:t>
            </w:r>
          </w:p>
          <w:p w14:paraId="28C9ACE8">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【部门规章】《植物检疫条例实施细则（林业部分）》（国家林业局第26号令）</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2011版</w:t>
            </w:r>
            <w:r>
              <w:rPr>
                <w:rFonts w:hint="eastAsia" w:ascii="仿宋_GB2312" w:hAnsi="仿宋_GB2312" w:eastAsia="仿宋_GB2312" w:cs="仿宋_GB2312"/>
                <w:color w:val="auto"/>
                <w:sz w:val="18"/>
                <w:szCs w:val="18"/>
                <w:highlight w:val="none"/>
                <w:lang w:eastAsia="zh-CN"/>
              </w:rPr>
              <w:t>）</w:t>
            </w:r>
          </w:p>
          <w:p w14:paraId="5B02398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第十四条 应施检疫的森林植物及其产品运出发生疫情的县级行政区域之前以及调运林木种子、苗木和其他繁殖材料必须经过检疫，取得《植物检疫证书》。《植物检疫证书》由省、自治区、直辖市森检机构按规定格式统一印制。《植物检疫证书》按一车（即同一运输工具）一证核发。</w:t>
            </w:r>
          </w:p>
          <w:p w14:paraId="33E9CEE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《植物检疫条例实施细则》（林业部分）</w:t>
            </w:r>
          </w:p>
          <w:p w14:paraId="16DF8467">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p>
        </w:tc>
        <w:tc>
          <w:tcPr>
            <w:tcW w:w="607" w:type="dxa"/>
            <w:noWrap w:val="0"/>
            <w:vAlign w:val="center"/>
          </w:tcPr>
          <w:p w14:paraId="08487C67">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对运输或者邮寄未取得检疫证书的林木种苗行为的处罚</w:t>
            </w:r>
          </w:p>
        </w:tc>
        <w:tc>
          <w:tcPr>
            <w:tcW w:w="1899" w:type="dxa"/>
            <w:noWrap w:val="0"/>
            <w:vAlign w:val="center"/>
          </w:tcPr>
          <w:p w14:paraId="1416C8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ED19E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C556D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90C09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6DA82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B853A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F81DDF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9A4932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C1000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58921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F54BD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CCCAB87">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05B43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DB908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52491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B9E98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CE945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05D78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FE634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B40DF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014A81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E2342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492DE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3B72C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7D2C2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05B7E1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4E0BE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D1386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5A543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F270A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E5EF0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BA5BD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92B8C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20209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EDC98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04040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D7676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22CAF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A464D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BBA25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D0E5A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103CD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EF8DD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FC772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7A6BDC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F1219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6A478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0A3B5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6B0B4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18B6FB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04865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FC8F1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599BF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954AC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8F47E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866DFA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3AC86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4B88A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EBBA5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09FAA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6DC8E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427CE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B4B3B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95BE69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67D13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950CE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691E8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56E040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D70D5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885D1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D2A09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7EC65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E596F7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D50A9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DBFB68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E6F9F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8F61D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16A23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4D9CD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1E83D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16FD8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3BCB3A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582719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688A4F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43E36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2FAD6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5966C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DF994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EEFE2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7872AC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0A6B52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9BE66F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2F5E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73184ED">
            <w:pPr>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lang w:val="en-US" w:eastAsia="zh-CN"/>
              </w:rPr>
              <w:t>65</w:t>
            </w:r>
          </w:p>
        </w:tc>
        <w:tc>
          <w:tcPr>
            <w:tcW w:w="608" w:type="dxa"/>
            <w:noWrap w:val="0"/>
            <w:vAlign w:val="center"/>
          </w:tcPr>
          <w:p w14:paraId="34380B37">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对非法推广、销售应当审定未审定林木良种行为的处罚</w:t>
            </w:r>
          </w:p>
        </w:tc>
        <w:tc>
          <w:tcPr>
            <w:tcW w:w="607" w:type="dxa"/>
            <w:noWrap w:val="0"/>
            <w:vAlign w:val="center"/>
          </w:tcPr>
          <w:p w14:paraId="138F0E13">
            <w:pPr>
              <w:widowControl/>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887A833">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0222053000</w:t>
            </w:r>
          </w:p>
        </w:tc>
        <w:tc>
          <w:tcPr>
            <w:tcW w:w="1538" w:type="dxa"/>
            <w:noWrap w:val="0"/>
            <w:vAlign w:val="center"/>
          </w:tcPr>
          <w:p w14:paraId="12537A7B">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7CEF243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第二十一条　审定通过的农作物品种和林木良种出现不可克服的严重缺陷等情形不宜继续推广、销售的，经原审定委员会审核确认后，撤销审定，由原公告部门发布公告，停止推广、销售。第二十三条应当审定的农作物品种未经审定的，不得发布广告、推广、销售。</w:t>
            </w:r>
          </w:p>
          <w:p w14:paraId="4092B0F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应当审定的林木品种未经审定通过的，不得作为良种推广、销售，但生产确需使用的，应当经林木品种审定委员会认定。</w:t>
            </w:r>
          </w:p>
          <w:p w14:paraId="6B61D95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应当登记的农作物品种未经登记的，不得发布广告、推广，不得以登记品种的名义销售。</w:t>
            </w:r>
          </w:p>
          <w:p w14:paraId="04D1792F">
            <w:pPr>
              <w:widowControl/>
              <w:adjustRightInd w:val="0"/>
              <w:snapToGrid w:val="0"/>
              <w:ind w:firstLine="360" w:firstLineChars="20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七十八条违反本法第二十一条、第二十二条、第二十三条规定，有下列行为之一的，由县级以上人民政府农业、林业主管部门责令停止违法行为，没收违法所得和种子，并处二万元以上二十万元以下罚款：（一）对应当审定未经审定的农作物品种进行推广、销售的；（二）作为良种推广、销售应当审定未经审定的林木品种的；（三）推广、销售应当停止推广、销售的农作物品种或者林木良种的；</w:t>
            </w:r>
          </w:p>
        </w:tc>
        <w:tc>
          <w:tcPr>
            <w:tcW w:w="607" w:type="dxa"/>
            <w:noWrap w:val="0"/>
            <w:vAlign w:val="center"/>
          </w:tcPr>
          <w:p w14:paraId="39CBD250">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对非法推广、销售应当审定未审定林木良种行为的处罚</w:t>
            </w:r>
          </w:p>
        </w:tc>
        <w:tc>
          <w:tcPr>
            <w:tcW w:w="1899" w:type="dxa"/>
            <w:noWrap w:val="0"/>
            <w:vAlign w:val="center"/>
          </w:tcPr>
          <w:p w14:paraId="6157FA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C3E6C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37A1C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57ACC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697757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C1992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A1BDF8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20D2728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7E74F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47EBE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2DEEC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AF26586">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7528A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42E05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7142A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DC2E9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7A0254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4FF37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3DA53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CD78C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AC69F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D60DB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87C12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BA607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A79D8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B24D9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CD036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6B084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188A9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1B1B9429">
            <w:pPr>
              <w:shd w:val="clear" w:color="auto" w:fill="FFFFFF"/>
              <w:adjustRightInd w:val="0"/>
              <w:snapToGrid w:val="0"/>
              <w:rPr>
                <w:rFonts w:hint="eastAsia" w:ascii="仿宋_GB2312" w:hAnsi="仿宋_GB2312" w:eastAsia="仿宋_GB2312" w:cs="仿宋_GB2312"/>
                <w:color w:val="auto"/>
                <w:sz w:val="18"/>
                <w:szCs w:val="18"/>
                <w:highlight w:val="none"/>
              </w:rPr>
            </w:pPr>
          </w:p>
          <w:p w14:paraId="73FB88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C1224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2997A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F0DDD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698D63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B0E24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E4FFB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70762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B792E26">
            <w:pPr>
              <w:shd w:val="clear" w:color="auto" w:fill="FFFFFF"/>
              <w:adjustRightInd w:val="0"/>
              <w:snapToGrid w:val="0"/>
              <w:rPr>
                <w:rFonts w:hint="eastAsia" w:ascii="仿宋_GB2312" w:hAnsi="仿宋_GB2312" w:eastAsia="仿宋_GB2312" w:cs="仿宋_GB2312"/>
                <w:color w:val="auto"/>
                <w:sz w:val="18"/>
                <w:szCs w:val="18"/>
                <w:highlight w:val="none"/>
              </w:rPr>
            </w:pPr>
          </w:p>
          <w:p w14:paraId="7E48ED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288405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50AA9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7B1C0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5B791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612E3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75AD2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12E7C8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91CFF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DF3E6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89158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2E3EF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8A215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7A848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257C9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510670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3EAA0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89047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158B500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0E7FD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30FF3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6C0EC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E51A0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4DF33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6CBC6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1F192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104B6D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A5C9F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68F1E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F1EF7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4F2A48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2C9EB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84FC1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6863C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47A75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820234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154512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2DD302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B68BE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2E288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C5FAE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108C5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C5D0B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0EA26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7F8AFD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7A9F0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8A1B38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D6683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F89AE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D15A8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DE5C5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24DC5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57C169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9EA44F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12C151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274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CF0E691">
            <w:pPr>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olor w:val="auto"/>
                <w:sz w:val="18"/>
                <w:szCs w:val="18"/>
                <w:highlight w:val="none"/>
                <w:lang w:val="en-US" w:eastAsia="zh-CN"/>
              </w:rPr>
              <w:t>66</w:t>
            </w:r>
          </w:p>
        </w:tc>
        <w:tc>
          <w:tcPr>
            <w:tcW w:w="608" w:type="dxa"/>
            <w:noWrap w:val="0"/>
            <w:vAlign w:val="center"/>
          </w:tcPr>
          <w:p w14:paraId="6E9B1BEA">
            <w:pPr>
              <w:rPr>
                <w:rFonts w:hint="eastAsia" w:ascii="仿宋_GB2312" w:hAnsi="仿宋_GB2312" w:eastAsia="仿宋_GB2312" w:cs="仿宋_GB2312"/>
                <w:color w:val="auto"/>
                <w:sz w:val="18"/>
                <w:szCs w:val="18"/>
                <w:highlight w:val="none"/>
              </w:rPr>
            </w:pPr>
          </w:p>
          <w:p w14:paraId="52215127">
            <w:pPr>
              <w:rPr>
                <w:rFonts w:hint="eastAsia" w:ascii="仿宋_GB2312" w:hAnsi="仿宋_GB2312" w:eastAsia="仿宋_GB2312" w:cs="仿宋_GB2312"/>
                <w:color w:val="auto"/>
                <w:sz w:val="18"/>
                <w:szCs w:val="18"/>
                <w:highlight w:val="none"/>
              </w:rPr>
            </w:pPr>
          </w:p>
          <w:p w14:paraId="1221C8F4">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对非法生产经营林木种子行为的处罚</w:t>
            </w:r>
          </w:p>
        </w:tc>
        <w:tc>
          <w:tcPr>
            <w:tcW w:w="607" w:type="dxa"/>
            <w:noWrap w:val="0"/>
            <w:vAlign w:val="center"/>
          </w:tcPr>
          <w:p w14:paraId="50DB0D53">
            <w:pP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9F6D751">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0222054000</w:t>
            </w:r>
          </w:p>
        </w:tc>
        <w:tc>
          <w:tcPr>
            <w:tcW w:w="1538" w:type="dxa"/>
            <w:noWrap w:val="0"/>
            <w:vAlign w:val="center"/>
          </w:tcPr>
          <w:p w14:paraId="53FE524D">
            <w:pPr>
              <w:ind w:firstLine="360" w:firstLineChars="200"/>
              <w:rPr>
                <w:rFonts w:hint="eastAsia" w:ascii="仿宋_GB2312" w:hAnsi="仿宋_GB2312" w:eastAsia="仿宋_GB2312" w:cs="仿宋_GB2312"/>
                <w:color w:val="auto"/>
                <w:sz w:val="18"/>
                <w:szCs w:val="18"/>
                <w:highlight w:val="none"/>
              </w:rPr>
            </w:pPr>
          </w:p>
          <w:p w14:paraId="31BE54E7">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40DE9E1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第三十二条　申请取得种子生产经营许可证的，应当具有与种子生产经营相适应的生产经营设施、设备及专业技术人员，以及法规和国务院农业农村、林业草原主管部门规定的其他条件。</w:t>
            </w:r>
          </w:p>
          <w:p w14:paraId="1FF063F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从事种子生产的，还应当同时具有繁殖种子的隔离和培育条件，具有无检疫性有害生物的种子生产地点或者县级以上人民政府林业草原主管部门确定的采种林。</w:t>
            </w:r>
          </w:p>
          <w:p w14:paraId="14302EE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申请领取具有植物新品种权的种子生产经营许可证的，应当征得植物新品种权所有人的书面同意。</w:t>
            </w:r>
          </w:p>
          <w:p w14:paraId="199B46D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第三十三条　种子生产经营许可证应当载明生产经营者名称、地址、法定代表人、生产种子的品种、地点和种子经营的范围、有效期限、有效区域等事项。</w:t>
            </w:r>
          </w:p>
          <w:p w14:paraId="2604429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前款事项发生变更的，应当自变更之日起三十日内，向原核发许可证机关申请变更登记。</w:t>
            </w:r>
          </w:p>
          <w:p w14:paraId="417B725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除本法另有规定外，禁止任何单位和个人无种子生产经营许可证或者违反种子生产经营许可证的规定生产、经营种子。禁止伪造、变造、买卖、租借种子生产经营许可证。</w:t>
            </w:r>
          </w:p>
          <w:p w14:paraId="11153E68">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第七十六条　违反本法第三十二条、第三十三条、第三十四条规定，有下列行为之一的，由县级以上人民政府农业农村、林业草原主管部门责令改正，没收违法所得和种子；违法生产经营的货值金额不足一万元的，并处三千元以上三万元以下罚款；货值金额一万元以上的，并处货值金额三倍以上五倍以下罚款；可以吊销种子生产经营许可证：</w:t>
            </w:r>
          </w:p>
          <w:p w14:paraId="6C097F7A">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（一）未取得种子生产经营许可证生产经营种子的；</w:t>
            </w:r>
          </w:p>
          <w:p w14:paraId="295A9F9F">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（二）以欺骗、贿赂等不正当手段取得种子生产经营许可证的；</w:t>
            </w:r>
          </w:p>
          <w:p w14:paraId="2EABDE55">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（三）未按照种子生产经营许可证的规定生产经营种子的；</w:t>
            </w:r>
          </w:p>
          <w:p w14:paraId="54C855A1">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（四）伪造、变造、买卖、租借种子生产经营许可证的；</w:t>
            </w:r>
          </w:p>
          <w:p w14:paraId="07AE2D1E">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（五）不再具有繁殖种子的隔离和培育条件，或者不再具有无检疫性有害生物的种子生产地点或者县级以上人民政府林业草原主管部门确定的采种林，继续从事种子生产的；</w:t>
            </w:r>
          </w:p>
          <w:p w14:paraId="73380D4C">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（六）未执行种子检验、检疫规程生产种子的。</w:t>
            </w:r>
          </w:p>
          <w:p w14:paraId="66CE8D51">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被吊销种子生产经营许可证的单位，其法定代表人、直接负责的主管人员自处罚决定作出之日起五年内不得担任种子企业的法定代表人、高级管理人员。</w:t>
            </w:r>
          </w:p>
        </w:tc>
        <w:tc>
          <w:tcPr>
            <w:tcW w:w="607" w:type="dxa"/>
            <w:noWrap w:val="0"/>
            <w:vAlign w:val="center"/>
          </w:tcPr>
          <w:p w14:paraId="23BEBF44">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对非法生产经营林木种子行为的处罚</w:t>
            </w:r>
          </w:p>
          <w:p w14:paraId="1F06D0FE">
            <w:pPr>
              <w:snapToGrid w:val="0"/>
              <w:jc w:val="left"/>
              <w:rPr>
                <w:rFonts w:hint="eastAsia" w:ascii="仿宋_GB2312" w:hAnsi="仿宋_GB2312" w:eastAsia="仿宋_GB2312" w:cs="仿宋_GB2312"/>
                <w:color w:val="auto"/>
                <w:kern w:val="2"/>
                <w:sz w:val="18"/>
                <w:szCs w:val="18"/>
                <w:highlight w:val="none"/>
                <w:lang w:val="en-US" w:eastAsia="zh-CN" w:bidi="ar-SA"/>
              </w:rPr>
            </w:pPr>
          </w:p>
        </w:tc>
        <w:tc>
          <w:tcPr>
            <w:tcW w:w="1899" w:type="dxa"/>
            <w:noWrap w:val="0"/>
            <w:vAlign w:val="center"/>
          </w:tcPr>
          <w:p w14:paraId="2AA66F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B9C57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5A091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20E60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E6B55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59062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79306C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7871629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CF015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ACC86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AACE3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880F352">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7085E9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C6897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9F801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59C4EA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10F7C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FAAFE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BB2FE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2F2FB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6CB3A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E1002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EE4E4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4DB37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5A7F6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FE39A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0A744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01C22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A5A31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F665AA2">
            <w:pPr>
              <w:shd w:val="clear" w:color="auto" w:fill="FFFFFF"/>
              <w:adjustRightInd w:val="0"/>
              <w:snapToGrid w:val="0"/>
              <w:rPr>
                <w:rFonts w:hint="eastAsia" w:ascii="仿宋_GB2312" w:hAnsi="仿宋_GB2312" w:eastAsia="仿宋_GB2312" w:cs="仿宋_GB2312"/>
                <w:color w:val="auto"/>
                <w:sz w:val="18"/>
                <w:szCs w:val="18"/>
                <w:highlight w:val="none"/>
              </w:rPr>
            </w:pPr>
          </w:p>
          <w:p w14:paraId="7E967C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897EB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3D5BF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CEF4B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8974D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F7F85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279137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C1AC9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720BB78">
            <w:pPr>
              <w:shd w:val="clear" w:color="auto" w:fill="FFFFFF"/>
              <w:adjustRightInd w:val="0"/>
              <w:snapToGrid w:val="0"/>
              <w:rPr>
                <w:rFonts w:hint="eastAsia" w:ascii="仿宋_GB2312" w:hAnsi="仿宋_GB2312" w:eastAsia="仿宋_GB2312" w:cs="仿宋_GB2312"/>
                <w:color w:val="auto"/>
                <w:sz w:val="18"/>
                <w:szCs w:val="18"/>
                <w:highlight w:val="none"/>
              </w:rPr>
            </w:pPr>
          </w:p>
          <w:p w14:paraId="4C832B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91C41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066B11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18D63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005D55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40998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2F3C4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70304DA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D16D2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032C6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F6B13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A27FC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59C60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92179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941A8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70E5E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41D658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91D63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48F565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4A51B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418A1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357DB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A8444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11B2A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2C104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CF434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DE8FC5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9DC4E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CECFF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3AD23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7809C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265B6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3BF7A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43E68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B99B0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6120A1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ADEEB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269FB4C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8E958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59122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53107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3A167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0B0B7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402A90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95473E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74085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5E8B0A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66730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85E9D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5417B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45C8A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53C64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6D65590">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C5B09D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38C47C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3AE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4A1B496">
            <w:pPr>
              <w:snapToGrid w:val="0"/>
              <w:jc w:val="center"/>
              <w:rPr>
                <w:rFonts w:hint="default" w:ascii="仿宋_GB2312" w:hAnsi="仿宋_GB2312" w:eastAsia="仿宋_GB2312" w:cs="Times New Roman"/>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67</w:t>
            </w:r>
          </w:p>
        </w:tc>
        <w:tc>
          <w:tcPr>
            <w:tcW w:w="608" w:type="dxa"/>
            <w:noWrap w:val="0"/>
            <w:vAlign w:val="center"/>
          </w:tcPr>
          <w:p w14:paraId="3F87B5EE">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对抢采掠青、损坏母树或者在劣质林内、劣质母树上采种的处罚</w:t>
            </w:r>
          </w:p>
        </w:tc>
        <w:tc>
          <w:tcPr>
            <w:tcW w:w="607" w:type="dxa"/>
            <w:noWrap w:val="0"/>
            <w:vAlign w:val="center"/>
          </w:tcPr>
          <w:p w14:paraId="68390B9D">
            <w:pPr>
              <w:widowControl/>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B14779E">
            <w:pPr>
              <w:widowControl/>
              <w:adjustRightInd w:val="0"/>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0222055000</w:t>
            </w:r>
          </w:p>
        </w:tc>
        <w:tc>
          <w:tcPr>
            <w:tcW w:w="1538" w:type="dxa"/>
            <w:noWrap w:val="0"/>
            <w:vAlign w:val="top"/>
          </w:tcPr>
          <w:p w14:paraId="79008139">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248AF45D">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第三十五条　在林木种子生产基地内采集种子的，由种子生产基地的经营者组织进行，采集种子应当按照国家有关标准进行。</w:t>
            </w:r>
          </w:p>
          <w:p w14:paraId="3D7E7E07">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禁止抢采掠青、损坏母树，禁止在劣质林内、劣质母树上采集种子。</w:t>
            </w:r>
          </w:p>
          <w:p w14:paraId="53D528AA">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第八十二条　违反本法第三十五条规定，抢采掠青、损坏母树或者在劣质林内、劣质母树上采种的，由县级以上人民政府林业草原主管部门责令停止采种行为，没收所采种子，并处所采种子货值金额二倍以上五倍以下罚款。</w:t>
            </w:r>
          </w:p>
        </w:tc>
        <w:tc>
          <w:tcPr>
            <w:tcW w:w="607" w:type="dxa"/>
            <w:noWrap w:val="0"/>
            <w:vAlign w:val="center"/>
          </w:tcPr>
          <w:p w14:paraId="7B4EE232">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对抢采掠青、损坏母树或者在劣质林内、劣质母树上采种的处罚</w:t>
            </w:r>
          </w:p>
        </w:tc>
        <w:tc>
          <w:tcPr>
            <w:tcW w:w="1899" w:type="dxa"/>
            <w:noWrap w:val="0"/>
            <w:vAlign w:val="center"/>
          </w:tcPr>
          <w:p w14:paraId="3DDF49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1BFB4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8CA9A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011DE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E6947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D7FD9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0B8DE2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63CFBB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A877F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25857D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6F768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30E1A58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6EAA0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BAA72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534A2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50E03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A69D2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297FB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315F6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7265B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83732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9BE2F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65EEB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DAA6F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05B49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AD40F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82E19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A9A27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99F50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9309541">
            <w:pPr>
              <w:shd w:val="clear" w:color="auto" w:fill="FFFFFF"/>
              <w:adjustRightInd w:val="0"/>
              <w:snapToGrid w:val="0"/>
              <w:rPr>
                <w:rFonts w:hint="eastAsia" w:ascii="仿宋_GB2312" w:hAnsi="仿宋_GB2312" w:eastAsia="仿宋_GB2312" w:cs="仿宋_GB2312"/>
                <w:color w:val="auto"/>
                <w:sz w:val="18"/>
                <w:szCs w:val="18"/>
                <w:highlight w:val="none"/>
              </w:rPr>
            </w:pPr>
          </w:p>
          <w:p w14:paraId="64A721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C4299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C23EA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3BD9C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ED90A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8BA33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E8281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B5466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87CCCEF">
            <w:pPr>
              <w:shd w:val="clear" w:color="auto" w:fill="FFFFFF"/>
              <w:adjustRightInd w:val="0"/>
              <w:snapToGrid w:val="0"/>
              <w:rPr>
                <w:rFonts w:hint="eastAsia" w:ascii="仿宋_GB2312" w:hAnsi="仿宋_GB2312" w:eastAsia="仿宋_GB2312" w:cs="仿宋_GB2312"/>
                <w:color w:val="auto"/>
                <w:sz w:val="18"/>
                <w:szCs w:val="18"/>
                <w:highlight w:val="none"/>
              </w:rPr>
            </w:pPr>
          </w:p>
          <w:p w14:paraId="7F755C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81A57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285A5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DF733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A01C4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B9ED8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03A693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D6B8DD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F5CFA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7B965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C488B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1E43F1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56EEF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320CC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43619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B1C87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1EEED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95A0A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4FFB86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40627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568B5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54D40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AD60A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098787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6A4DC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FFBEF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D0403A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9E8DA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8D58E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F5CA7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30A86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24ED97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44322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D2757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ADF75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D042DC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0BC91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4CA9A6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82494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EA32C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FB3C7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58D80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CB774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8FF2B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54EEB14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DFFF7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27E99E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B80C8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5EB0E6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D0D59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0CA54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A1881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886C0D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054A096">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30A4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A34BB15">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68</w:t>
            </w:r>
          </w:p>
        </w:tc>
        <w:tc>
          <w:tcPr>
            <w:tcW w:w="608" w:type="dxa"/>
            <w:noWrap w:val="0"/>
            <w:vAlign w:val="center"/>
          </w:tcPr>
          <w:p w14:paraId="69BAB14C">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对生产经营者未按规定建立、保存林木种子生产经营档案、未依法备案行为的处罚</w:t>
            </w:r>
          </w:p>
        </w:tc>
        <w:tc>
          <w:tcPr>
            <w:tcW w:w="607" w:type="dxa"/>
            <w:noWrap w:val="0"/>
            <w:vAlign w:val="center"/>
          </w:tcPr>
          <w:p w14:paraId="32BFA8B7">
            <w:pPr>
              <w:widowControl/>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E16CAD7">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0222056000</w:t>
            </w:r>
          </w:p>
        </w:tc>
        <w:tc>
          <w:tcPr>
            <w:tcW w:w="1538" w:type="dxa"/>
            <w:noWrap w:val="0"/>
            <w:vAlign w:val="center"/>
          </w:tcPr>
          <w:p w14:paraId="68D5196F">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06FAE25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第三十六条　种子生产经营者应当建立和保存包括种子来源、产地、数量、质量、销售去向、销售日期和有关责任人员等内容的生产经营档案，保证可追溯。种子生产经营档案的具体载明事项，种子生产经营档案及种子样品的保存期限由国务院农业农村、林业草原主管部门规定。</w:t>
            </w:r>
          </w:p>
          <w:p w14:paraId="1D42A11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第三十八条　种子生产经营许可证的有效区域由发证机关在其管辖范围内确定。种子生产经营者在种子生产经营许可证载明的有效区域设立分支机构的，专门经营不再分装的包装种子的，或者受具有种子生产经营许可证的种子生产经营者以书面委托生产、代销其种子的，不需要办理种子生产经营许可证，但应当向当地农业农村、林业草原主管部门备案。</w:t>
            </w:r>
          </w:p>
          <w:p w14:paraId="641356D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实行选育生产经营相结合，符合国务院农业农村、林业草原主管部门规定条件的种子企业的生产经营许可证的有效区域为全国。</w:t>
            </w:r>
          </w:p>
          <w:p w14:paraId="7F0877CD">
            <w:pPr>
              <w:widowControl/>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第七十九条　违反本法第三十六条、第三十八条、第三十九条、第四十条规定，有下列行为之一的，由县级以上人民政府农业农村、林业草原主管部门责令改正，处二千元以上二万元以下罚款：</w:t>
            </w:r>
          </w:p>
          <w:p w14:paraId="1ECE418B">
            <w:pPr>
              <w:widowControl/>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（一）销售的种子应当包装而没有包装的；</w:t>
            </w:r>
          </w:p>
          <w:p w14:paraId="175E07A8">
            <w:pPr>
              <w:widowControl/>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（二）销售的种子没有使用说明或者标签内容不符合规定的；</w:t>
            </w:r>
          </w:p>
          <w:p w14:paraId="032B8A3C">
            <w:pPr>
              <w:widowControl/>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（三）涂改标签的；</w:t>
            </w:r>
          </w:p>
          <w:p w14:paraId="3969130E">
            <w:pPr>
              <w:widowControl/>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（四）未按规定建立、保存种子生产经营档案的；</w:t>
            </w:r>
          </w:p>
          <w:p w14:paraId="1845CFA0">
            <w:pPr>
              <w:widowControl/>
              <w:adjustRightInd w:val="0"/>
              <w:snapToGrid w:val="0"/>
              <w:ind w:firstLine="360" w:firstLineChars="20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（五）种子生产经营者在异地设立分支机构、专门经营不再分装的包装种子或者受委托生产、代销种子，未按规定备案的。</w:t>
            </w:r>
          </w:p>
        </w:tc>
        <w:tc>
          <w:tcPr>
            <w:tcW w:w="607" w:type="dxa"/>
            <w:noWrap w:val="0"/>
            <w:vAlign w:val="center"/>
          </w:tcPr>
          <w:p w14:paraId="0D0DB527">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对生产经营者未按规定建立、保存林木种子生产经营档案、未依法备案行为的处罚</w:t>
            </w:r>
          </w:p>
        </w:tc>
        <w:tc>
          <w:tcPr>
            <w:tcW w:w="1899" w:type="dxa"/>
            <w:noWrap w:val="0"/>
            <w:vAlign w:val="center"/>
          </w:tcPr>
          <w:p w14:paraId="108191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82119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3566EB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06561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B2A3A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EA96C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535E7D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54BABF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4B437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6D4B5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F355A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0C54656">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C149B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34390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BF375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DD018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999BF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36AEB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3E9167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EDC95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5F8CA6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93453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8DD06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2F7EA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E3589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A7507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A680F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B882F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741EB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825471E">
            <w:pPr>
              <w:shd w:val="clear" w:color="auto" w:fill="FFFFFF"/>
              <w:adjustRightInd w:val="0"/>
              <w:snapToGrid w:val="0"/>
              <w:rPr>
                <w:rFonts w:hint="eastAsia" w:ascii="仿宋_GB2312" w:hAnsi="仿宋_GB2312" w:eastAsia="仿宋_GB2312" w:cs="仿宋_GB2312"/>
                <w:color w:val="auto"/>
                <w:sz w:val="18"/>
                <w:szCs w:val="18"/>
                <w:highlight w:val="none"/>
              </w:rPr>
            </w:pPr>
          </w:p>
          <w:p w14:paraId="27D2AE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0789F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596C12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25B65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4545B8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D0101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148B6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41D0A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16F0E16">
            <w:pPr>
              <w:shd w:val="clear" w:color="auto" w:fill="FFFFFF"/>
              <w:adjustRightInd w:val="0"/>
              <w:snapToGrid w:val="0"/>
              <w:rPr>
                <w:rFonts w:hint="eastAsia" w:ascii="仿宋_GB2312" w:hAnsi="仿宋_GB2312" w:eastAsia="仿宋_GB2312" w:cs="仿宋_GB2312"/>
                <w:color w:val="auto"/>
                <w:sz w:val="18"/>
                <w:szCs w:val="18"/>
                <w:highlight w:val="none"/>
              </w:rPr>
            </w:pPr>
          </w:p>
          <w:p w14:paraId="324E11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5253A3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E6AA9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080A6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D29CF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C29E1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C63C8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D9BAB4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002604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379AB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C908A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1DDBB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B54C7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4B7F5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BC74C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03D5F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A6D8F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66B84F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7725EB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C3392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50FC1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2FF86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B07F5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1332D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59917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409DF9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346FBC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7C13A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22ED9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C4CAC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5A635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1F327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19D8E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C3422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23D709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8C2D910">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603E1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7E6284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2F707F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4EF0A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72A11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2C47D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6BE55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C448D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BB956C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5AFA4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B6BC5F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FB4B8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B37D0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95507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19462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8FEFB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173A73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8F0FA30">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403B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4C764F0">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69</w:t>
            </w:r>
          </w:p>
        </w:tc>
        <w:tc>
          <w:tcPr>
            <w:tcW w:w="608" w:type="dxa"/>
            <w:noWrap w:val="0"/>
            <w:vAlign w:val="center"/>
          </w:tcPr>
          <w:p w14:paraId="4562A452">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对林木种子包装、标签违规行为的处罚</w:t>
            </w:r>
          </w:p>
        </w:tc>
        <w:tc>
          <w:tcPr>
            <w:tcW w:w="607" w:type="dxa"/>
            <w:noWrap w:val="0"/>
            <w:vAlign w:val="center"/>
          </w:tcPr>
          <w:p w14:paraId="2A45AD6E">
            <w:pPr>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6548A2DD">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0222058000</w:t>
            </w:r>
          </w:p>
        </w:tc>
        <w:tc>
          <w:tcPr>
            <w:tcW w:w="1538" w:type="dxa"/>
            <w:noWrap w:val="0"/>
            <w:vAlign w:val="top"/>
          </w:tcPr>
          <w:p w14:paraId="734C9F64">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24887494">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第三十九条　销售的种子应当加工、分级、包装。但是不能加工、包装的除外。</w:t>
            </w:r>
          </w:p>
          <w:p w14:paraId="1A8594E8">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大包装或者进口种子可以分装；实行分装的，应当标注分装单位，并对种子质量负责。</w:t>
            </w:r>
          </w:p>
          <w:p w14:paraId="66E62DC0">
            <w:pPr>
              <w:ind w:firstLine="360" w:firstLineChars="20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 xml:space="preserve">  </w:t>
            </w:r>
            <w:r>
              <w:rPr>
                <w:rFonts w:hint="eastAsia" w:ascii="仿宋_GB2312" w:hAnsi="仿宋_GB2312" w:eastAsia="仿宋_GB2312" w:cs="仿宋_GB2312"/>
                <w:color w:val="auto"/>
                <w:sz w:val="18"/>
                <w:szCs w:val="18"/>
                <w:highlight w:val="none"/>
                <w:lang w:val="en-US" w:eastAsia="zh-CN"/>
              </w:rPr>
              <w:t xml:space="preserve"> 第四十条　销售的种子应当符合国家或者行业标准，附有标签和使用说明。标签和使用说明标注的内容应当与销售的种子相符。种子生产经营者对标注内容的真实性和种子质量负责。</w:t>
            </w:r>
          </w:p>
          <w:p w14:paraId="4B9E5038">
            <w:pPr>
              <w:ind w:firstLine="360" w:firstLineChars="20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标签应当标注种子类别、品种名称、品种审定或者登记编号、品种适宜种植区域及季节、生产经营者及注册地、质量指标、检疫证明编号、种子生产经营许可证编号和信息代码，以及国务院农业农村、林业草原主管部门规定的其他事项。</w:t>
            </w:r>
          </w:p>
          <w:p w14:paraId="3E1AFA82">
            <w:pPr>
              <w:ind w:firstLine="360" w:firstLineChars="20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销售授权品种种子的，应当标注品种权号。</w:t>
            </w:r>
          </w:p>
          <w:p w14:paraId="480F28DE">
            <w:pPr>
              <w:ind w:firstLine="360" w:firstLineChars="20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销售进口种子的，应当附有进口审批文号和中文标签。</w:t>
            </w:r>
          </w:p>
          <w:p w14:paraId="354174FE">
            <w:pPr>
              <w:ind w:firstLine="360" w:firstLineChars="20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销售转基因植物品种种子的，必须用明显的文字标注，并应当提示使用时的安全控制措施。</w:t>
            </w:r>
          </w:p>
          <w:p w14:paraId="13629F97">
            <w:pPr>
              <w:ind w:firstLine="360" w:firstLineChars="20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种子生产经营者应当遵守有关法律、法规的规定，诚实守信，向种子使用者提供种子生产者信息、种子的主要性状、主要栽培措施、适应性等使用条件的说明、风险提示与有关咨询服务，不得作虚假或者引人误解的宣传。</w:t>
            </w:r>
          </w:p>
          <w:p w14:paraId="75C535EC">
            <w:pPr>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任何单位和个人不得非法干预种子生产经营者的生产经营自主权。</w:t>
            </w:r>
          </w:p>
        </w:tc>
        <w:tc>
          <w:tcPr>
            <w:tcW w:w="607" w:type="dxa"/>
            <w:noWrap w:val="0"/>
            <w:vAlign w:val="center"/>
          </w:tcPr>
          <w:p w14:paraId="1058CFA4">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对林木种子包装、标签违规行为的处罚</w:t>
            </w:r>
          </w:p>
        </w:tc>
        <w:tc>
          <w:tcPr>
            <w:tcW w:w="1899" w:type="dxa"/>
            <w:noWrap w:val="0"/>
            <w:vAlign w:val="center"/>
          </w:tcPr>
          <w:p w14:paraId="796F87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727474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48112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EDB18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55620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F979A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A9B66C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356AF4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3AFB8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85233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AE4F3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D4AEC2C">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4B97B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8A4B7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3B028A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0E39F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29D50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5E8A0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52CC8E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DD658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4E5C19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A5FF8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4995D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9189F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81121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243112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8BE01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BA9EB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D5C21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23397ED">
            <w:pPr>
              <w:shd w:val="clear" w:color="auto" w:fill="FFFFFF"/>
              <w:adjustRightInd w:val="0"/>
              <w:snapToGrid w:val="0"/>
              <w:rPr>
                <w:rFonts w:hint="eastAsia" w:ascii="仿宋_GB2312" w:hAnsi="仿宋_GB2312" w:eastAsia="仿宋_GB2312" w:cs="仿宋_GB2312"/>
                <w:color w:val="auto"/>
                <w:sz w:val="18"/>
                <w:szCs w:val="18"/>
                <w:highlight w:val="none"/>
              </w:rPr>
            </w:pPr>
          </w:p>
          <w:p w14:paraId="633288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CE861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46FF5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FEFAB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4F23E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387E3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8EB47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33467E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1FD2E32D">
            <w:pPr>
              <w:shd w:val="clear" w:color="auto" w:fill="FFFFFF"/>
              <w:adjustRightInd w:val="0"/>
              <w:snapToGrid w:val="0"/>
              <w:rPr>
                <w:rFonts w:hint="eastAsia" w:ascii="仿宋_GB2312" w:hAnsi="仿宋_GB2312" w:eastAsia="仿宋_GB2312" w:cs="仿宋_GB2312"/>
                <w:color w:val="auto"/>
                <w:sz w:val="18"/>
                <w:szCs w:val="18"/>
                <w:highlight w:val="none"/>
              </w:rPr>
            </w:pPr>
          </w:p>
          <w:p w14:paraId="4FDA05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0EE7A5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D1C62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16382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8463F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25F9B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41A7A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1EB547F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0CEBF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25EE3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4D8E0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FF309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13B96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6C06AD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98C4B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49CAB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1AC11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0B4E1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D8364D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E126E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4328B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B4938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55014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AE3A9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0C433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C6D74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430F262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18C9E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DBC9C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40E24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4DDFE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2C774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4C9858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47A0B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37D07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98E12C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AD083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5302D2F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3901A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061FB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B7F7B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A8CE2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AA051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D213C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E79B9F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0E245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8075E1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8CF98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BBD87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30E10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4EB6FC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E2E18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BC3ABD5">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769F315">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13B4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488BCA0">
            <w:pPr>
              <w:snapToGrid w:val="0"/>
              <w:jc w:val="center"/>
              <w:rPr>
                <w:rFonts w:hint="default" w:ascii="仿宋_GB2312" w:hAnsi="仿宋_GB2312" w:eastAsia="仿宋_GB2312" w:cs="Times New Roman"/>
                <w:color w:val="auto"/>
                <w:kern w:val="2"/>
                <w:sz w:val="18"/>
                <w:szCs w:val="18"/>
                <w:highlight w:val="none"/>
                <w:lang w:val="en-US" w:eastAsia="zh-CN" w:bidi="ar-SA"/>
              </w:rPr>
            </w:pPr>
            <w:r>
              <w:rPr>
                <w:rFonts w:hint="eastAsia" w:ascii="仿宋_GB2312" w:hAnsi="仿宋_GB2312" w:eastAsia="仿宋_GB2312"/>
                <w:color w:val="auto"/>
                <w:sz w:val="18"/>
                <w:szCs w:val="18"/>
                <w:highlight w:val="none"/>
                <w:lang w:val="en-US" w:eastAsia="zh-CN"/>
              </w:rPr>
              <w:t>70</w:t>
            </w:r>
          </w:p>
        </w:tc>
        <w:tc>
          <w:tcPr>
            <w:tcW w:w="608" w:type="dxa"/>
            <w:noWrap w:val="0"/>
            <w:vAlign w:val="center"/>
          </w:tcPr>
          <w:p w14:paraId="385868C8">
            <w:pPr>
              <w:adjustRightInd w:val="0"/>
              <w:snapToGrid w:val="0"/>
              <w:jc w:val="left"/>
              <w:rPr>
                <w:rFonts w:hint="eastAsia" w:ascii="仿宋_GB2312" w:hAnsi="仿宋_GB2312" w:eastAsia="仿宋_GB2312" w:cs="仿宋_GB2312"/>
                <w:color w:val="auto"/>
                <w:sz w:val="18"/>
                <w:szCs w:val="18"/>
                <w:highlight w:val="none"/>
              </w:rPr>
            </w:pPr>
          </w:p>
          <w:p w14:paraId="353D450C">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对未根据林业主管部门制定的计划使用林木良种行为的处罚</w:t>
            </w:r>
          </w:p>
        </w:tc>
        <w:tc>
          <w:tcPr>
            <w:tcW w:w="607" w:type="dxa"/>
            <w:noWrap w:val="0"/>
            <w:vAlign w:val="center"/>
          </w:tcPr>
          <w:p w14:paraId="48DBD1E7">
            <w:pPr>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1C2FE8CE">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0222059000</w:t>
            </w:r>
          </w:p>
        </w:tc>
        <w:tc>
          <w:tcPr>
            <w:tcW w:w="1538" w:type="dxa"/>
            <w:noWrap w:val="0"/>
            <w:vAlign w:val="center"/>
          </w:tcPr>
          <w:p w14:paraId="5026F18E">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219DD28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第四十四条　国家对推广使用林木良种造林给予扶持。国家投资或者国家投资为主的造林项目和国有林业单位造林，应当根据林业草原主管部门制定的计划使用林木良种。</w:t>
            </w:r>
          </w:p>
          <w:p w14:paraId="50134728">
            <w:pPr>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第八十四条　违反本法第四十四条规定，未根据林业草原主管部门制定的计划使用林木良种的，由同级人民政府林业草原主管部门责令限期改正；逾期未改正的，处三千元以上三万元以下罚款。</w:t>
            </w:r>
          </w:p>
        </w:tc>
        <w:tc>
          <w:tcPr>
            <w:tcW w:w="607" w:type="dxa"/>
            <w:noWrap w:val="0"/>
            <w:vAlign w:val="center"/>
          </w:tcPr>
          <w:p w14:paraId="06906354">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对未根据林业主管部门制定的计划使用林木良种行为的处罚</w:t>
            </w:r>
          </w:p>
        </w:tc>
        <w:tc>
          <w:tcPr>
            <w:tcW w:w="1899" w:type="dxa"/>
            <w:noWrap w:val="0"/>
            <w:vAlign w:val="center"/>
          </w:tcPr>
          <w:p w14:paraId="120217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84999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2580E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C82ED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DB729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5FDA2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E15E16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20AD343">
            <w:pPr>
              <w:shd w:val="clear" w:color="auto" w:fill="FFFFFF"/>
              <w:adjustRightInd w:val="0"/>
              <w:snapToGrid w:val="0"/>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E2E51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203A1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7D745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EEFE6E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7D1E9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BB34E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D3498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5D476D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A2E1A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799283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C8DB0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A06D4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9CED9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66D95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60125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6EF587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54E40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BA147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8AA61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457F1F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255A8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499E84C">
            <w:pPr>
              <w:shd w:val="clear" w:color="auto" w:fill="FFFFFF"/>
              <w:adjustRightInd w:val="0"/>
              <w:snapToGrid w:val="0"/>
              <w:rPr>
                <w:rFonts w:hint="eastAsia" w:ascii="仿宋_GB2312" w:hAnsi="仿宋_GB2312" w:eastAsia="仿宋_GB2312" w:cs="仿宋_GB2312"/>
                <w:color w:val="auto"/>
                <w:sz w:val="18"/>
                <w:szCs w:val="18"/>
                <w:highlight w:val="none"/>
              </w:rPr>
            </w:pPr>
          </w:p>
          <w:p w14:paraId="2E4F34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0319C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88C29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84A1A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2E9FB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075D2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FBDAD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F6477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C8D9F29">
            <w:pPr>
              <w:shd w:val="clear" w:color="auto" w:fill="FFFFFF"/>
              <w:adjustRightInd w:val="0"/>
              <w:snapToGrid w:val="0"/>
              <w:rPr>
                <w:rFonts w:hint="eastAsia" w:ascii="仿宋_GB2312" w:hAnsi="仿宋_GB2312" w:eastAsia="仿宋_GB2312" w:cs="仿宋_GB2312"/>
                <w:color w:val="auto"/>
                <w:sz w:val="18"/>
                <w:szCs w:val="18"/>
                <w:highlight w:val="none"/>
              </w:rPr>
            </w:pPr>
          </w:p>
          <w:p w14:paraId="586C3A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82F1B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660D5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0D013F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ACE63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AD8A5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06D47C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F862C9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133AD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315FF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235A3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0A1A4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51306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A389C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67233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D1008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067DE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90491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8E5781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C7CE9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C6EB0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02A59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0A205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6C22D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1AAEF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0FA6A7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0C8517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F1F93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A1561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C1D8C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4C223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DF6AB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790BD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A26FE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B8011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236330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9B6E7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5EFA8B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DF414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4B1DC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F605B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3E6CE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5DD31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0C45C9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F3596A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0E450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68FAD6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2403E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A8DBB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07B64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1CC49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478DA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25B87C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B1D4D4E">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235F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11B3CF4">
            <w:pPr>
              <w:snapToGrid w:val="0"/>
              <w:jc w:val="center"/>
              <w:rPr>
                <w:rFonts w:hint="default" w:ascii="仿宋_GB2312" w:hAnsi="仿宋_GB2312" w:eastAsia="仿宋_GB2312" w:cs="Times New Roman"/>
                <w:color w:val="auto"/>
                <w:kern w:val="2"/>
                <w:sz w:val="18"/>
                <w:szCs w:val="18"/>
                <w:highlight w:val="none"/>
                <w:lang w:val="en-US" w:eastAsia="zh-CN" w:bidi="ar-SA"/>
              </w:rPr>
            </w:pPr>
            <w:r>
              <w:rPr>
                <w:rFonts w:hint="eastAsia" w:ascii="仿宋_GB2312" w:hAnsi="仿宋_GB2312" w:eastAsia="仿宋_GB2312"/>
                <w:color w:val="auto"/>
                <w:sz w:val="18"/>
                <w:szCs w:val="18"/>
                <w:highlight w:val="none"/>
                <w:lang w:val="en-US" w:eastAsia="zh-CN"/>
              </w:rPr>
              <w:t>71</w:t>
            </w:r>
          </w:p>
        </w:tc>
        <w:tc>
          <w:tcPr>
            <w:tcW w:w="608" w:type="dxa"/>
            <w:noWrap w:val="0"/>
            <w:vAlign w:val="center"/>
          </w:tcPr>
          <w:p w14:paraId="4F3AA42C">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对生产经营假劣林木种子行为的处罚</w:t>
            </w:r>
          </w:p>
        </w:tc>
        <w:tc>
          <w:tcPr>
            <w:tcW w:w="607" w:type="dxa"/>
            <w:noWrap w:val="0"/>
            <w:vAlign w:val="center"/>
          </w:tcPr>
          <w:p w14:paraId="420506DF">
            <w:pPr>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385E0F4B">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0222060000</w:t>
            </w:r>
          </w:p>
        </w:tc>
        <w:tc>
          <w:tcPr>
            <w:tcW w:w="1538" w:type="dxa"/>
            <w:noWrap w:val="0"/>
            <w:vAlign w:val="center"/>
          </w:tcPr>
          <w:p w14:paraId="4A6633A4">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38C7792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第四十八条　禁止生产经营假、劣种子。农业农村、林业草原主管部门和有关部门依法打击生产经营假、劣种子的违法行为，保护农民合法权益，维护公平竞争的市场秩序。</w:t>
            </w:r>
          </w:p>
          <w:p w14:paraId="6083AB8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下列种子为假种子：</w:t>
            </w:r>
          </w:p>
          <w:p w14:paraId="0BE848B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（一）以非种子冒充种子或者以此种品种种子冒充其他品种种子的；</w:t>
            </w:r>
          </w:p>
          <w:p w14:paraId="203763F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（二）种子种类、品种与标签标注的内容不符或者没有标签的。</w:t>
            </w:r>
          </w:p>
          <w:p w14:paraId="15E8057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下列种子为劣种子：</w:t>
            </w:r>
          </w:p>
          <w:p w14:paraId="5228FBA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（一）质量低于国家规定标准的；</w:t>
            </w:r>
          </w:p>
          <w:p w14:paraId="1EC75D3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（二）质量低于标签标注指标的；</w:t>
            </w:r>
          </w:p>
          <w:p w14:paraId="4068E24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（三）带有国家规定的检疫性有害生物的。</w:t>
            </w:r>
          </w:p>
          <w:p w14:paraId="00DAB2E4">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第七十四条　违反本法第四十八条规定，生产经营假种子的，由县级以上人民政府农业农村、林业草原主管部门责令停止生产经营，没收违法所得和种子，吊销种子生产经营许可证；违法生产经营的货值金额不足二万元的，并处二万元以上二十万元以下罚款；货值金额二万元以上的，并处货值金额十倍以上二十倍以下罚款。</w:t>
            </w:r>
          </w:p>
          <w:p w14:paraId="7C29D54F">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因生产经营假种子犯罪被判处有期徒刑以上刑罚的，种子企业或者其他单位的法定代表人、直接负责的主管人员自刑罚执行完毕之日起五年内不得担任种子企业的法定代表人、高级管理人员。</w:t>
            </w:r>
          </w:p>
          <w:p w14:paraId="237FC20F">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第七十五条　违反本法第四十八条规定，生产经营劣种子的，由县级以上人民政府农业农村、林业草原主管部门责令停止生产经营，没收违法所得和种子；违法生产经营的货值金额不足二万元的，并处一万元以上十万元以下罚款；货值金额二万元以上的，并处货值金额五倍以上十倍以下罚款；情节严重的，吊销种子生产经营许可证。</w:t>
            </w:r>
          </w:p>
          <w:p w14:paraId="6CA9B1DD">
            <w:pPr>
              <w:adjustRightInd w:val="0"/>
              <w:snapToGrid w:val="0"/>
              <w:ind w:firstLine="360" w:firstLineChars="200"/>
              <w:rPr>
                <w:rFonts w:hint="eastAsia" w:ascii="仿宋_GB2312" w:hAnsi="仿宋_GB2312" w:eastAsia="仿宋_GB2312" w:cs="仿宋_GB2312"/>
                <w:color w:val="auto"/>
                <w:kern w:val="2"/>
                <w:sz w:val="18"/>
                <w:szCs w:val="18"/>
                <w:highlight w:val="none"/>
                <w:shd w:val="clear" w:color="auto" w:fill="FFFFFF"/>
                <w:lang w:val="en-US" w:eastAsia="zh-CN" w:bidi="ar-SA"/>
              </w:rPr>
            </w:pPr>
            <w:r>
              <w:rPr>
                <w:rFonts w:hint="eastAsia" w:ascii="仿宋_GB2312" w:hAnsi="仿宋_GB2312" w:eastAsia="仿宋_GB2312" w:cs="仿宋_GB2312"/>
                <w:color w:val="auto"/>
                <w:sz w:val="18"/>
                <w:szCs w:val="18"/>
                <w:highlight w:val="none"/>
              </w:rPr>
              <w:t>因生产经营劣种子犯罪被判处有期徒刑以上刑罚的，种子企业或者其他单位的法定代表人、直接负责的主管人员自刑罚执行完毕之日起五年内不得担任种子企业的法定代表人、高级管理人员。</w:t>
            </w:r>
          </w:p>
        </w:tc>
        <w:tc>
          <w:tcPr>
            <w:tcW w:w="607" w:type="dxa"/>
            <w:noWrap w:val="0"/>
            <w:vAlign w:val="center"/>
          </w:tcPr>
          <w:p w14:paraId="240AB2DA">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对生产经营假劣林木种子行为的处罚</w:t>
            </w:r>
          </w:p>
        </w:tc>
        <w:tc>
          <w:tcPr>
            <w:tcW w:w="1899" w:type="dxa"/>
            <w:noWrap w:val="0"/>
            <w:vAlign w:val="center"/>
          </w:tcPr>
          <w:p w14:paraId="10F6DB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93D3B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1E0831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0EA64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08F3D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5E000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24BAA3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1067D4D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F0B0A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E64F0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B926C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217DB10">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73FA8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957C3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7846E1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0C407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4FE9E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2A3F1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3BA53F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9056E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5CAB29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CCE70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61496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6EAF3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55766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04335B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8297A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1DA82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2A346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75B2D82">
            <w:pPr>
              <w:shd w:val="clear" w:color="auto" w:fill="FFFFFF"/>
              <w:adjustRightInd w:val="0"/>
              <w:snapToGrid w:val="0"/>
              <w:rPr>
                <w:rFonts w:hint="eastAsia" w:ascii="仿宋_GB2312" w:hAnsi="仿宋_GB2312" w:eastAsia="仿宋_GB2312" w:cs="仿宋_GB2312"/>
                <w:color w:val="auto"/>
                <w:sz w:val="18"/>
                <w:szCs w:val="18"/>
                <w:highlight w:val="none"/>
              </w:rPr>
            </w:pPr>
          </w:p>
          <w:p w14:paraId="047CEA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35377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5BAC71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21C7F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D6816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A2F81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F4EB0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5F33D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9612270">
            <w:pPr>
              <w:shd w:val="clear" w:color="auto" w:fill="FFFFFF"/>
              <w:adjustRightInd w:val="0"/>
              <w:snapToGrid w:val="0"/>
              <w:rPr>
                <w:rFonts w:hint="eastAsia" w:ascii="仿宋_GB2312" w:hAnsi="仿宋_GB2312" w:eastAsia="仿宋_GB2312" w:cs="仿宋_GB2312"/>
                <w:color w:val="auto"/>
                <w:sz w:val="18"/>
                <w:szCs w:val="18"/>
                <w:highlight w:val="none"/>
              </w:rPr>
            </w:pPr>
          </w:p>
          <w:p w14:paraId="06B021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43550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1722E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0F5D1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2B0C2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FF286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FFD7C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A81018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4AB702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A8D57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B1398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37FAA9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9C59C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F5EB0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CA0B2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4303E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D7E89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B7C6E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ADAEC2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E7FD2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81668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A930C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314C3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1DB70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143254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42B48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553AD1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B649C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D3D4C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9B382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000F3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DF5BF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2EAFE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E5B0B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202FAC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B56965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16A470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187AF5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25ACD9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47BAE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A95EE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473C4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56C7A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2F6BE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6D9B82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A77E4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6FEDBE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514AC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E6AF8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C65F9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3639A2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9E1FC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53CC12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0436D2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DC97D1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5C17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0517F34">
            <w:pPr>
              <w:snapToGrid w:val="0"/>
              <w:jc w:val="center"/>
              <w:rPr>
                <w:rFonts w:hint="default" w:ascii="仿宋_GB2312" w:hAnsi="仿宋_GB2312" w:eastAsia="仿宋_GB2312" w:cs="Times New Roman"/>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72</w:t>
            </w:r>
          </w:p>
        </w:tc>
        <w:tc>
          <w:tcPr>
            <w:tcW w:w="608" w:type="dxa"/>
            <w:noWrap w:val="0"/>
            <w:vAlign w:val="center"/>
          </w:tcPr>
          <w:p w14:paraId="13AF8190">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对拒绝、阻挠农业、林业主管部门依法实施监督检查行为的处罚</w:t>
            </w:r>
          </w:p>
        </w:tc>
        <w:tc>
          <w:tcPr>
            <w:tcW w:w="607" w:type="dxa"/>
            <w:noWrap w:val="0"/>
            <w:vAlign w:val="center"/>
          </w:tcPr>
          <w:p w14:paraId="3189D5EF">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1931EA32">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0222061000</w:t>
            </w:r>
          </w:p>
          <w:p w14:paraId="392FFD83">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p>
        </w:tc>
        <w:tc>
          <w:tcPr>
            <w:tcW w:w="1538" w:type="dxa"/>
            <w:noWrap w:val="0"/>
            <w:vAlign w:val="center"/>
          </w:tcPr>
          <w:p w14:paraId="55026A27">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151154C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第四十九条　农业农村、林业草原主管部门是种子行政执法机关。种子执法人员依法执行公务时应当出示行政执法证件。农业农村、林业草原主管部门依法履行种子监督检查职责时，有权采取下列措施：</w:t>
            </w:r>
          </w:p>
          <w:p w14:paraId="39C06EA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（一）进入生产经营场所进行现场检查；</w:t>
            </w:r>
          </w:p>
          <w:p w14:paraId="25F5E17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（二）对种子进行取样测试、试验或者检验；</w:t>
            </w:r>
          </w:p>
          <w:p w14:paraId="2A555D15">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（三）查阅、复制有关合同、票据、账簿、生产经营档案及其他有关资料；</w:t>
            </w:r>
          </w:p>
          <w:p w14:paraId="65E4966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（四）查封、扣押有证据证明违法生产经营的种子，以及用于违法生产经营的工具、设备及运输工具等；</w:t>
            </w:r>
          </w:p>
          <w:p w14:paraId="1044DAC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（五）查封违法从事种子生产经营活动的场所。</w:t>
            </w:r>
          </w:p>
          <w:p w14:paraId="5A19234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农业农村、林业草原主管部门依照本法规定行使职权，当事人应当协助、配合，不得拒绝、阻挠。</w:t>
            </w:r>
          </w:p>
          <w:p w14:paraId="65B18DA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农业农村、林业草原主管部门所属的综合执法机构或者受其委托的种子管理机构，可以开展种子执法相关工作</w:t>
            </w:r>
          </w:p>
          <w:p w14:paraId="275073D1">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第八十六条　违反本法第四十九条规定，拒绝、阻挠农业农村、林业草原主管部门依法实施监督检查的，处二千元以上五万元以下罚款，可以责令停产停业整顿；构成违反治安管理行为的，由公安机关依法给予治安管理处罚。</w:t>
            </w:r>
          </w:p>
        </w:tc>
        <w:tc>
          <w:tcPr>
            <w:tcW w:w="607" w:type="dxa"/>
            <w:noWrap w:val="0"/>
            <w:vAlign w:val="center"/>
          </w:tcPr>
          <w:p w14:paraId="45BC863C">
            <w:pPr>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对拒绝、阻挠农业、林业主管部门依法实施监督检查行为的处罚</w:t>
            </w:r>
          </w:p>
          <w:p w14:paraId="563FE7F9">
            <w:pPr>
              <w:snapToGrid w:val="0"/>
              <w:jc w:val="left"/>
              <w:rPr>
                <w:rFonts w:hint="eastAsia" w:ascii="仿宋_GB2312" w:hAnsi="仿宋_GB2312" w:eastAsia="仿宋_GB2312" w:cs="仿宋_GB2312"/>
                <w:color w:val="auto"/>
                <w:kern w:val="2"/>
                <w:sz w:val="18"/>
                <w:szCs w:val="18"/>
                <w:highlight w:val="none"/>
                <w:lang w:val="en-US" w:eastAsia="zh-CN" w:bidi="ar-SA"/>
              </w:rPr>
            </w:pPr>
          </w:p>
        </w:tc>
        <w:tc>
          <w:tcPr>
            <w:tcW w:w="1899" w:type="dxa"/>
            <w:noWrap w:val="0"/>
            <w:vAlign w:val="center"/>
          </w:tcPr>
          <w:p w14:paraId="03A0BF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B6E12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B66F3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6943B4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0EDD5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BE3C2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18BB37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379EC6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86498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ABF4A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A5D1F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4AF33F9B">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C19AA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F244F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005C4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D26ED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28245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E3AE3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CFAB3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41373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508B58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99959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0F81B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C501E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8B6AE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0ECC7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6310E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02EDB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96AEF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D0894FF">
            <w:pPr>
              <w:shd w:val="clear" w:color="auto" w:fill="FFFFFF"/>
              <w:adjustRightInd w:val="0"/>
              <w:snapToGrid w:val="0"/>
              <w:rPr>
                <w:rFonts w:hint="eastAsia" w:ascii="仿宋_GB2312" w:hAnsi="仿宋_GB2312" w:eastAsia="仿宋_GB2312" w:cs="仿宋_GB2312"/>
                <w:color w:val="auto"/>
                <w:sz w:val="18"/>
                <w:szCs w:val="18"/>
                <w:highlight w:val="none"/>
              </w:rPr>
            </w:pPr>
          </w:p>
          <w:p w14:paraId="260F00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EC137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673B2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B896E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59BD6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3E226C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249071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3AAA1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4B4C8395">
            <w:pPr>
              <w:shd w:val="clear" w:color="auto" w:fill="FFFFFF"/>
              <w:adjustRightInd w:val="0"/>
              <w:snapToGrid w:val="0"/>
              <w:rPr>
                <w:rFonts w:hint="eastAsia" w:ascii="仿宋_GB2312" w:hAnsi="仿宋_GB2312" w:eastAsia="仿宋_GB2312" w:cs="仿宋_GB2312"/>
                <w:color w:val="auto"/>
                <w:sz w:val="18"/>
                <w:szCs w:val="18"/>
                <w:highlight w:val="none"/>
              </w:rPr>
            </w:pPr>
          </w:p>
          <w:p w14:paraId="0032A5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D334F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9E433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8E558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810EC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8BBFE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7D7BF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5F07A9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738BD6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06D60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06A508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51E79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495B3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B010A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AEFBF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5904B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7F945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9492A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08B2F3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BE0EB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2BBAF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0008D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24781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D3A2C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AAD4C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874AB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C3D2E8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847A5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32230C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39E8E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5ECF76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403EA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E7B77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A8B0D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09B627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9D80BC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37DA9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44AADB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EA657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A574B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121D1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515D5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76D09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3EC30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0FA688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233BC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6FDEE8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93802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B2072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DE61A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467A3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A9F58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F318752">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AA8E8FA">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7E97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A2E128C">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73</w:t>
            </w:r>
          </w:p>
        </w:tc>
        <w:tc>
          <w:tcPr>
            <w:tcW w:w="608" w:type="dxa"/>
            <w:noWrap w:val="0"/>
            <w:vAlign w:val="center"/>
          </w:tcPr>
          <w:p w14:paraId="65A0FA34">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对未经许可进出口林木种子、进出口假、劣种子或者属于国家规定不得进出口的种子行为的处罚</w:t>
            </w:r>
          </w:p>
        </w:tc>
        <w:tc>
          <w:tcPr>
            <w:tcW w:w="607" w:type="dxa"/>
            <w:noWrap w:val="0"/>
            <w:vAlign w:val="center"/>
          </w:tcPr>
          <w:p w14:paraId="31E56FD3">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2ABD0847">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0222062000</w:t>
            </w:r>
          </w:p>
        </w:tc>
        <w:tc>
          <w:tcPr>
            <w:tcW w:w="1538" w:type="dxa"/>
            <w:noWrap w:val="0"/>
            <w:vAlign w:val="center"/>
          </w:tcPr>
          <w:p w14:paraId="56E20F99">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0A949255">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第五十七条　从事种子进出口业务的，应当具备种子生产经营许可证；其中，从事农作物种子进出口业务的，还应当按照国家有关规定取得种子进出口许可。</w:t>
            </w:r>
          </w:p>
          <w:p w14:paraId="0436E06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从境外引进农作物、林木种子的审定权限，农作物种子的进口审批办法，引进转基因植物品种的管理办法，由国务院规定。</w:t>
            </w:r>
          </w:p>
          <w:p w14:paraId="6B70A57C">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第六十条　禁止进出口假、劣种子以及属于国家规定不得进出口的种子。</w:t>
            </w:r>
          </w:p>
          <w:p w14:paraId="61A87D7E">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第七十八条　违反本法第五十七条、第五十九条、第六十条规定，有下列行为之一的，由县级以上人民政府农业农村、林业草原主管部门责令改正，没收违法所得和种子；违法生产经营的货值金额不足一万元的，并处三千元以上三万元以下罚款；货值金额一万元以上的，并处货值金额三倍以上五倍以下罚款；情节严重的，吊销种子生产经营许可证：</w:t>
            </w:r>
          </w:p>
          <w:p w14:paraId="3AE3E4E8">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（一）未经许可进出口种子的；</w:t>
            </w:r>
          </w:p>
          <w:p w14:paraId="473319AE">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（二）为境外制种的种子在境内销售的；</w:t>
            </w:r>
          </w:p>
          <w:p w14:paraId="02A6B4CD">
            <w:pPr>
              <w:widowControl/>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（三）从境外引进农作物或者林木种子进行引种试验的收获物作为种子在境内销售的；</w:t>
            </w:r>
          </w:p>
          <w:p w14:paraId="68750365">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（四）进出口假、劣种子或者属于国家规定不得进出口的种子的。</w:t>
            </w:r>
          </w:p>
        </w:tc>
        <w:tc>
          <w:tcPr>
            <w:tcW w:w="607" w:type="dxa"/>
            <w:noWrap w:val="0"/>
            <w:vAlign w:val="center"/>
          </w:tcPr>
          <w:p w14:paraId="198503E5">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对未经许可进出口林木种子、进出口假、劣种子或者属于国家规定不得进出口的种子行为的处罚</w:t>
            </w:r>
          </w:p>
        </w:tc>
        <w:tc>
          <w:tcPr>
            <w:tcW w:w="1899" w:type="dxa"/>
            <w:noWrap w:val="0"/>
            <w:vAlign w:val="center"/>
          </w:tcPr>
          <w:p w14:paraId="40B0A0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8F8C7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33EF09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4B7F04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2A195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10253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134AC12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F32600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1B72B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C7D85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F1177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6AE4A1E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DD564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41A5C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549444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8FA14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585D7C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51B5A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621E88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5D5B55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B821E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7F1238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C759A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C4F93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D60EC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F4448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A9EAE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13989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1D7402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A7A44F3">
            <w:pPr>
              <w:shd w:val="clear" w:color="auto" w:fill="FFFFFF"/>
              <w:adjustRightInd w:val="0"/>
              <w:snapToGrid w:val="0"/>
              <w:rPr>
                <w:rFonts w:hint="eastAsia" w:ascii="仿宋_GB2312" w:hAnsi="仿宋_GB2312" w:eastAsia="仿宋_GB2312" w:cs="仿宋_GB2312"/>
                <w:color w:val="auto"/>
                <w:sz w:val="18"/>
                <w:szCs w:val="18"/>
                <w:highlight w:val="none"/>
              </w:rPr>
            </w:pPr>
          </w:p>
          <w:p w14:paraId="1F2F55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252F6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06610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2EF54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89D28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DBACD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2DE6B3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8BDD5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42C4051B">
            <w:pPr>
              <w:shd w:val="clear" w:color="auto" w:fill="FFFFFF"/>
              <w:adjustRightInd w:val="0"/>
              <w:snapToGrid w:val="0"/>
              <w:rPr>
                <w:rFonts w:hint="eastAsia" w:ascii="仿宋_GB2312" w:hAnsi="仿宋_GB2312" w:eastAsia="仿宋_GB2312" w:cs="仿宋_GB2312"/>
                <w:color w:val="auto"/>
                <w:sz w:val="18"/>
                <w:szCs w:val="18"/>
                <w:highlight w:val="none"/>
              </w:rPr>
            </w:pPr>
          </w:p>
          <w:p w14:paraId="043B79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29ECDA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C4465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0483F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6603D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72204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6B7E4E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305170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34F0A0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96837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15396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01B51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31DDB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6EDA9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D7941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5F8D3D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EA6C9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A0323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7E600F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E273E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D347C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6F866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B4730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BE13F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2AB18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93A59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2EB077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55A43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A8D77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5F35C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93CA5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6908D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45073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D423A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3690C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965ABE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658FC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267932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14951A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75FCC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75318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8F4CA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DF4EC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186E42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8DBE3C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12F74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84C696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B3C3A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46C30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D41FE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76B43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E2D2E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53EEC0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24187F4">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0035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186E153">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74</w:t>
            </w:r>
          </w:p>
        </w:tc>
        <w:tc>
          <w:tcPr>
            <w:tcW w:w="608" w:type="dxa"/>
            <w:noWrap w:val="0"/>
            <w:vAlign w:val="center"/>
          </w:tcPr>
          <w:p w14:paraId="06F3F4A5">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对销售为境外制种的林木种子行为的处罚</w:t>
            </w:r>
          </w:p>
        </w:tc>
        <w:tc>
          <w:tcPr>
            <w:tcW w:w="607" w:type="dxa"/>
            <w:noWrap w:val="0"/>
            <w:vAlign w:val="center"/>
          </w:tcPr>
          <w:p w14:paraId="31DF7B3D">
            <w:pPr>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659B5585">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0222063000</w:t>
            </w:r>
          </w:p>
        </w:tc>
        <w:tc>
          <w:tcPr>
            <w:tcW w:w="1538" w:type="dxa"/>
            <w:noWrap w:val="0"/>
            <w:vAlign w:val="center"/>
          </w:tcPr>
          <w:p w14:paraId="5EF1500D">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566F176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第五十九条　为境外制种进口种子的，可以不受本法第五十七条第一款的限制，但应当具有对外制种合同，进口的种子只能用于制种，其产品不得在境内销售。</w:t>
            </w:r>
          </w:p>
          <w:p w14:paraId="10A265E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从境外引进农作物或者林木试验用种，应当隔离栽培，收获物也不得作为种子销售。</w:t>
            </w:r>
          </w:p>
          <w:p w14:paraId="1CA6A18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第七十八条　违反本法第五十七条、第五十九条、第六十条规定，有下列行为之一的，由县级以上人民政府农业农村、林业草原主管部门责令改正，没收违法所得和种子；违法生产经营的货值金额不足一万元的，并处三千元以上三万元以下罚款；货值金额一万元以上的，并处货值金额三倍以上五倍以下罚款；情节严重的，吊销种子生产经营许可证：</w:t>
            </w:r>
          </w:p>
          <w:p w14:paraId="4BAEC76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（一）未经许可进出口种子的；</w:t>
            </w:r>
          </w:p>
          <w:p w14:paraId="636425B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（二）为境外制种的种子在境内销售的；</w:t>
            </w:r>
          </w:p>
          <w:p w14:paraId="533349C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（三）从境外引进农作物或者林木种子进行引种试验的收获物作为种子在境内销售的；</w:t>
            </w:r>
          </w:p>
          <w:p w14:paraId="2510B831">
            <w:pPr>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（四）进出口假、劣种子或者属于国家规定不得进出口的种子的。</w:t>
            </w:r>
          </w:p>
        </w:tc>
        <w:tc>
          <w:tcPr>
            <w:tcW w:w="607" w:type="dxa"/>
            <w:noWrap w:val="0"/>
            <w:vAlign w:val="center"/>
          </w:tcPr>
          <w:p w14:paraId="0A59A578">
            <w:pPr>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对销售为境外制种的林木种子行为的处罚</w:t>
            </w:r>
          </w:p>
        </w:tc>
        <w:tc>
          <w:tcPr>
            <w:tcW w:w="1899" w:type="dxa"/>
            <w:noWrap w:val="0"/>
            <w:vAlign w:val="center"/>
          </w:tcPr>
          <w:p w14:paraId="5E619B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897E4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3E807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7D0A6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73A647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7F98B1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CA8253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218C30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1F8BC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74F19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5E2B6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B045EB1">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48923B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B46EE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27B3E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6DEDE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0D495D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6B621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6D22B8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0168B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734AE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ABF8C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41BF9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02838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137B6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BA09A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D0E88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40BB7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03573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AD0647C">
            <w:pPr>
              <w:shd w:val="clear" w:color="auto" w:fill="FFFFFF"/>
              <w:adjustRightInd w:val="0"/>
              <w:snapToGrid w:val="0"/>
              <w:rPr>
                <w:rFonts w:hint="eastAsia" w:ascii="仿宋_GB2312" w:hAnsi="仿宋_GB2312" w:eastAsia="仿宋_GB2312" w:cs="仿宋_GB2312"/>
                <w:color w:val="auto"/>
                <w:sz w:val="18"/>
                <w:szCs w:val="18"/>
                <w:highlight w:val="none"/>
              </w:rPr>
            </w:pPr>
          </w:p>
          <w:p w14:paraId="0BA661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8AEEE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3431A5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6B3790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46AFEA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5FF242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43B0F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577672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04BAF6EB">
            <w:pPr>
              <w:shd w:val="clear" w:color="auto" w:fill="FFFFFF"/>
              <w:adjustRightInd w:val="0"/>
              <w:snapToGrid w:val="0"/>
              <w:rPr>
                <w:rFonts w:hint="eastAsia" w:ascii="仿宋_GB2312" w:hAnsi="仿宋_GB2312" w:eastAsia="仿宋_GB2312" w:cs="仿宋_GB2312"/>
                <w:color w:val="auto"/>
                <w:sz w:val="18"/>
                <w:szCs w:val="18"/>
                <w:highlight w:val="none"/>
              </w:rPr>
            </w:pPr>
          </w:p>
          <w:p w14:paraId="36F4D3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B2504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B189C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10259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99503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009583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40A20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335FC5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7C2B3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04395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E78A0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E5DE2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C38E5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263FF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7F0A8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3DA56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81BF0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0BCC42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1A7821D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159FCC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F9CCD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2E4B6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8E5A5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12E4D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33946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3DBE7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84BDC7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1E76E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5C947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19B20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D10CD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02045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D39DA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74548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4F911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E933FE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18658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A1CBC1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15B181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EE8D8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BCCA2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8CBCB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2D021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1AA95B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652CBB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1CA451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D55DF4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57163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173F6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7408C4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0CE3D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B93BF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CA90E77">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032AF6A">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0E29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9CCEF89">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75</w:t>
            </w:r>
          </w:p>
        </w:tc>
        <w:tc>
          <w:tcPr>
            <w:tcW w:w="608" w:type="dxa"/>
            <w:noWrap w:val="0"/>
            <w:vAlign w:val="center"/>
          </w:tcPr>
          <w:p w14:paraId="740C80A2">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对伪造林木种子测试、实验、检验数据或出具虚假证明行为的处罚</w:t>
            </w:r>
          </w:p>
        </w:tc>
        <w:tc>
          <w:tcPr>
            <w:tcW w:w="607" w:type="dxa"/>
            <w:noWrap w:val="0"/>
            <w:vAlign w:val="center"/>
          </w:tcPr>
          <w:p w14:paraId="3E8680AC">
            <w:pPr>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7BA2D403">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0222064000</w:t>
            </w:r>
          </w:p>
        </w:tc>
        <w:tc>
          <w:tcPr>
            <w:tcW w:w="1538" w:type="dxa"/>
            <w:noWrap w:val="0"/>
            <w:vAlign w:val="center"/>
          </w:tcPr>
          <w:p w14:paraId="55621608">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56FE3468">
            <w:pPr>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七十二条品种测试、试验和种子质量检验机构伪造测试、试验、检验数据或者出具虚假证明的，由县级以上人民政府农业、林业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由省级以上人民政府有关主管部门取消种子质量检验资格。</w:t>
            </w:r>
          </w:p>
        </w:tc>
        <w:tc>
          <w:tcPr>
            <w:tcW w:w="607" w:type="dxa"/>
            <w:noWrap w:val="0"/>
            <w:vAlign w:val="top"/>
          </w:tcPr>
          <w:p w14:paraId="58097298">
            <w:pPr>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对伪造林木种子测试、实验、检验数据或出具虚假证明行为的处罚</w:t>
            </w:r>
          </w:p>
        </w:tc>
        <w:tc>
          <w:tcPr>
            <w:tcW w:w="1899" w:type="dxa"/>
            <w:noWrap w:val="0"/>
            <w:vAlign w:val="center"/>
          </w:tcPr>
          <w:p w14:paraId="4B5DB0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7F1FA8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DE229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8C624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C52B7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2F8BF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2DCF05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68CB7DC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7FBAB2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4DEA81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C44D0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EC84A79">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23FED9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338A3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E84B7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F9C02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C8BDF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06B8F9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9672D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E6A1D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3231F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F1A79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2348C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5DAA1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228CE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FF3FD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FE494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645E5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51FD8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8AC8C54">
            <w:pPr>
              <w:shd w:val="clear" w:color="auto" w:fill="FFFFFF"/>
              <w:adjustRightInd w:val="0"/>
              <w:snapToGrid w:val="0"/>
              <w:rPr>
                <w:rFonts w:hint="eastAsia" w:ascii="仿宋_GB2312" w:hAnsi="仿宋_GB2312" w:eastAsia="仿宋_GB2312" w:cs="仿宋_GB2312"/>
                <w:color w:val="auto"/>
                <w:sz w:val="18"/>
                <w:szCs w:val="18"/>
                <w:highlight w:val="none"/>
              </w:rPr>
            </w:pPr>
          </w:p>
          <w:p w14:paraId="3DEA8B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48AA6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86BD2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56F128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4E151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37B96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77D08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D2A2F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7F64851">
            <w:pPr>
              <w:shd w:val="clear" w:color="auto" w:fill="FFFFFF"/>
              <w:adjustRightInd w:val="0"/>
              <w:snapToGrid w:val="0"/>
              <w:rPr>
                <w:rFonts w:hint="eastAsia" w:ascii="仿宋_GB2312" w:hAnsi="仿宋_GB2312" w:eastAsia="仿宋_GB2312" w:cs="仿宋_GB2312"/>
                <w:color w:val="auto"/>
                <w:sz w:val="18"/>
                <w:szCs w:val="18"/>
                <w:highlight w:val="none"/>
              </w:rPr>
            </w:pPr>
          </w:p>
          <w:p w14:paraId="0E286A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B562F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75555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375C85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C92CE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65D49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96B40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1A90A1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2DBC73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FD7EB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391CC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4EB4A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0C878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EA89A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36F97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0158C4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00F25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CECBE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62A526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D5280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FAB13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590842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1ACF1E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CBC5C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592BC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24A07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3D4F46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60F5F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5F4EC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1E22B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9EF12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91B3E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FB3EC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DC9EE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4C2A9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3569F6B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FF1FE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083EFD9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6D33F7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AF3BD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E74A5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43F74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C41DD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A9AF8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59E235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23F070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9EDA9C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8EC66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C44F5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DD0AB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3584D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AC368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8EB556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63839C6">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40F0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C6B0ADE">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76</w:t>
            </w:r>
          </w:p>
        </w:tc>
        <w:tc>
          <w:tcPr>
            <w:tcW w:w="608" w:type="dxa"/>
            <w:noWrap w:val="0"/>
            <w:vAlign w:val="center"/>
          </w:tcPr>
          <w:p w14:paraId="372D6680">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对违法生产、加工、包装、检验和贮藏林木种子行为的处罚</w:t>
            </w:r>
          </w:p>
        </w:tc>
        <w:tc>
          <w:tcPr>
            <w:tcW w:w="607" w:type="dxa"/>
            <w:noWrap w:val="0"/>
            <w:vAlign w:val="center"/>
          </w:tcPr>
          <w:p w14:paraId="5356A9A0">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48F2588A">
            <w:pPr>
              <w:widowControl/>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0222066000</w:t>
            </w:r>
          </w:p>
        </w:tc>
        <w:tc>
          <w:tcPr>
            <w:tcW w:w="1538" w:type="dxa"/>
            <w:noWrap w:val="0"/>
            <w:vAlign w:val="center"/>
          </w:tcPr>
          <w:p w14:paraId="12A32744">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35F75C2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第三十四条　种子生产应当执行种子生产技术规程和种子检验、检疫规程，保证种子符合净度、纯度、发芽率等质量要求和检疫要求。</w:t>
            </w:r>
          </w:p>
          <w:p w14:paraId="03791B5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县级以上人民政府农业农村、林业草原主管部门应当指导、支持种子生产经营者采用先进的种子生产技术，改进生产工艺，提高种子质量。</w:t>
            </w:r>
          </w:p>
          <w:p w14:paraId="65BF918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第四十条　销售的种子应当符合国家或者行业标准，附有标签和使用说明。标签和使用说明标注的内容应当与销售的种子相符。种子生产经营者对标注内容的真实性和种子质量负责。</w:t>
            </w:r>
          </w:p>
          <w:p w14:paraId="7FBEAAC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【部门规章】《林木种子质量管理办法》（2006年国家林业局令第21号公布）</w:t>
            </w:r>
          </w:p>
          <w:p w14:paraId="66BD0DB4">
            <w:pPr>
              <w:widowControl/>
              <w:adjustRightInd w:val="0"/>
              <w:snapToGrid w:val="0"/>
              <w:ind w:firstLine="360" w:firstLineChars="20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二十五条违反本办法规定，生产、加工、包装、检验和贮藏林木种子的，由县级以上人民政府林业主管部门依照《种子法》的规定处理；《种子法》未规定的，县级以上人民政府林业主管部门可以根据情节给予警告、限期整改，有违法所得的，可以并处违法所得一倍以上三倍以下且不超过三万元的罚款；没有违法所得的，属于非经营活动的，可以并处一千元以下罚款，属于经营活动的，可以并处一万元以下罚款。</w:t>
            </w:r>
          </w:p>
        </w:tc>
        <w:tc>
          <w:tcPr>
            <w:tcW w:w="607" w:type="dxa"/>
            <w:noWrap w:val="0"/>
            <w:vAlign w:val="center"/>
          </w:tcPr>
          <w:p w14:paraId="51E0C7D8">
            <w:pPr>
              <w:jc w:val="left"/>
              <w:rPr>
                <w:rFonts w:hint="eastAsia" w:ascii="仿宋_GB2312" w:hAnsi="仿宋_GB2312" w:eastAsia="仿宋_GB2312" w:cs="仿宋_GB2312"/>
                <w:color w:val="auto"/>
                <w:sz w:val="18"/>
                <w:szCs w:val="18"/>
                <w:highlight w:val="none"/>
              </w:rPr>
            </w:pPr>
          </w:p>
          <w:p w14:paraId="276B2E1D">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对违法生产、加工、包装、检验和贮藏林木种子行为的处罚</w:t>
            </w:r>
          </w:p>
        </w:tc>
        <w:tc>
          <w:tcPr>
            <w:tcW w:w="1899" w:type="dxa"/>
            <w:noWrap w:val="0"/>
            <w:vAlign w:val="center"/>
          </w:tcPr>
          <w:p w14:paraId="6A14CC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08F6E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44C90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07E4A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D4E26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37E32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0C0AB4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7A7EA9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87EA1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73B23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CD9DE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37C723D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68DEC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D1960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24E09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266BB1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411D2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03845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2BD15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5B6F6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18090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59D75D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64AB39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ABBE2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D8E72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51ABC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4F23F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EA924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6AFD9C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94CCF0A">
            <w:pPr>
              <w:shd w:val="clear" w:color="auto" w:fill="FFFFFF"/>
              <w:adjustRightInd w:val="0"/>
              <w:snapToGrid w:val="0"/>
              <w:rPr>
                <w:rFonts w:hint="eastAsia" w:ascii="仿宋_GB2312" w:hAnsi="仿宋_GB2312" w:eastAsia="仿宋_GB2312" w:cs="仿宋_GB2312"/>
                <w:color w:val="auto"/>
                <w:sz w:val="18"/>
                <w:szCs w:val="18"/>
                <w:highlight w:val="none"/>
              </w:rPr>
            </w:pPr>
          </w:p>
          <w:p w14:paraId="358E03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DEAEF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5E581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E68D7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556DA2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26A57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07999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DF22D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21EA350">
            <w:pPr>
              <w:shd w:val="clear" w:color="auto" w:fill="FFFFFF"/>
              <w:adjustRightInd w:val="0"/>
              <w:snapToGrid w:val="0"/>
              <w:rPr>
                <w:rFonts w:hint="eastAsia" w:ascii="仿宋_GB2312" w:hAnsi="仿宋_GB2312" w:eastAsia="仿宋_GB2312" w:cs="仿宋_GB2312"/>
                <w:color w:val="auto"/>
                <w:sz w:val="18"/>
                <w:szCs w:val="18"/>
                <w:highlight w:val="none"/>
              </w:rPr>
            </w:pPr>
          </w:p>
          <w:p w14:paraId="14255B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01B97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AEDAD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B6284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909DB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10217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C1F99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9D076E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2092E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ADAEA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4F0CE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FB698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0083F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4B8C8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EA58C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E01B8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9F46F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5B0E73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9D5096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7E3BA3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29152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07B74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4CCA63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09C02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EED26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85439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1ADAA3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E37DB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553EB4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F013F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CBE7E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EC301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6A70D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7E995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7451E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426951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71A2D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6E30C5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20F17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AE0FC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9B8A2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37CB4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54D99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0FAAD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7CAB33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562FC9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AED737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82862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96A0C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60E7C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6DB19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D977F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0133B1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7D22D05">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2B7F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AFBDF45">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77</w:t>
            </w:r>
          </w:p>
        </w:tc>
        <w:tc>
          <w:tcPr>
            <w:tcW w:w="608" w:type="dxa"/>
            <w:noWrap w:val="0"/>
            <w:vAlign w:val="center"/>
          </w:tcPr>
          <w:p w14:paraId="110CAB46">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对销售、供应未经检验合格或未附质量检验合格证的林木种苗行为的处罚</w:t>
            </w:r>
          </w:p>
        </w:tc>
        <w:tc>
          <w:tcPr>
            <w:tcW w:w="607" w:type="dxa"/>
            <w:noWrap w:val="0"/>
            <w:vAlign w:val="center"/>
          </w:tcPr>
          <w:p w14:paraId="75811F6F">
            <w:pPr>
              <w:rPr>
                <w:rFonts w:hint="eastAsia" w:ascii="仿宋_GB2312" w:hAnsi="仿宋_GB2312" w:eastAsia="仿宋_GB2312" w:cs="仿宋_GB2312"/>
                <w:color w:val="auto"/>
                <w:kern w:val="2"/>
                <w:sz w:val="18"/>
                <w:szCs w:val="18"/>
                <w:highlight w:val="none"/>
                <w:lang w:val="en-US" w:eastAsia="zh-CN" w:bidi="ar-SA"/>
              </w:rPr>
            </w:pPr>
          </w:p>
        </w:tc>
        <w:tc>
          <w:tcPr>
            <w:tcW w:w="627" w:type="dxa"/>
            <w:noWrap w:val="0"/>
            <w:vAlign w:val="center"/>
          </w:tcPr>
          <w:p w14:paraId="1F6D0FFE">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0222067000</w:t>
            </w:r>
          </w:p>
        </w:tc>
        <w:tc>
          <w:tcPr>
            <w:tcW w:w="1538" w:type="dxa"/>
            <w:noWrap w:val="0"/>
            <w:vAlign w:val="center"/>
          </w:tcPr>
          <w:p w14:paraId="4A5FBEA3">
            <w:pPr>
              <w:ind w:firstLine="360" w:firstLineChars="20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3DCC8B4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第四十条　销售的种子应当符合国家或者行业标准，附有标签和使用说明。标签和使用说明标注的内容应当与销售的种子相符。种子生产经营者对标注内容的真实性和种子质量负责。</w:t>
            </w:r>
          </w:p>
          <w:p w14:paraId="30CAEDB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《退耕还林条例》（2016年国务院令第666号修订）</w:t>
            </w:r>
          </w:p>
          <w:p w14:paraId="3F9030EA">
            <w:pPr>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六十条销售、供应未经检验合格的种苗或者未附具标签、质量检验合格证、检疫合格证的种苗的，依照刑法关于生产、销售伪劣种子罪或者其他罪的规定，依法追究刑事责任;尚不够刑事处罚的，由县级以上人民政府林业、农业行政主管部门或者工商行政管理机关依照种子法的规定处理;种子法未作规定的，由县级以上人民政府林业、农业行政主管部门依据职权处以非法经营额2倍以上5倍以下的罚款。</w:t>
            </w:r>
          </w:p>
        </w:tc>
        <w:tc>
          <w:tcPr>
            <w:tcW w:w="607" w:type="dxa"/>
            <w:noWrap w:val="0"/>
            <w:vAlign w:val="top"/>
          </w:tcPr>
          <w:p w14:paraId="2092D94C">
            <w:pPr>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对销售、供应未经检验合格或未附质量检验合格证的林木种苗行为的处罚</w:t>
            </w:r>
          </w:p>
        </w:tc>
        <w:tc>
          <w:tcPr>
            <w:tcW w:w="1899" w:type="dxa"/>
            <w:noWrap w:val="0"/>
            <w:vAlign w:val="center"/>
          </w:tcPr>
          <w:p w14:paraId="7D0029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7093D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104F4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CB157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57C43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7CC2C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0705F7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30533A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9AFB25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《中华人民共和国行政处罚法》第二十三条“行政处罚由违法行为发生地的县级以上地方人民政府具有行政处罚权的行政机关管辖。法律、行政法规另有规定的除外。”</w:t>
            </w: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eastAsia="zh-CN"/>
              </w:rPr>
              <w:t>《中华人民共和国行政处罚法》第五十四条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F8C316A">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eastAsia="zh-CN"/>
              </w:rPr>
              <w:t>《中华人民共和国行政处罚法》第五十五条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70F4CF6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《中华人民共和国行政处罚法》第五十七条　调查终结，行政机关负责人应当对调查结果进行审查，根据不同情况，分别作出如下决定：</w:t>
            </w:r>
          </w:p>
          <w:p w14:paraId="06B10B76">
            <w:pPr>
              <w:pStyle w:val="4"/>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　　（一）确有应受行政处罚的违法行为的，根据情节轻重及具体情况，作出行政处罚决定；</w:t>
            </w:r>
          </w:p>
          <w:p w14:paraId="5C5F3716">
            <w:pPr>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　　（二）违法行为轻微，依法可以不予行政处罚的，不予行政处罚；</w:t>
            </w:r>
          </w:p>
          <w:p w14:paraId="3C07FB6A">
            <w:pPr>
              <w:pStyle w:val="4"/>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　　（三）违法事实不能成立的，不予行政处罚；</w:t>
            </w:r>
          </w:p>
          <w:p w14:paraId="55285DCF">
            <w:pPr>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　　（四）违法行为涉嫌犯罪的，移送司法机关。</w:t>
            </w:r>
          </w:p>
          <w:p w14:paraId="0E31C0EE">
            <w:pPr>
              <w:pStyle w:val="4"/>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　　对情节复杂或者重大违法行为给予行政处罚，行政机关负责人应当集体讨论决定。</w:t>
            </w:r>
          </w:p>
          <w:p w14:paraId="47F417BA">
            <w:pPr>
              <w:rPr>
                <w:rFonts w:hint="eastAsia"/>
                <w:color w:val="auto"/>
                <w:highlight w:val="none"/>
                <w:lang w:eastAsia="zh-CN"/>
              </w:rPr>
            </w:pPr>
          </w:p>
          <w:p w14:paraId="6E7E92D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《中华人民共和国行政处罚法》《中华人民共和国行政处罚法》第六十二条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E98D6DB">
            <w:pPr>
              <w:pStyle w:val="4"/>
              <w:rPr>
                <w:rFonts w:hint="eastAsia"/>
                <w:color w:val="auto"/>
                <w:highlight w:val="none"/>
                <w:lang w:eastAsia="zh-CN"/>
              </w:rPr>
            </w:pPr>
          </w:p>
          <w:p w14:paraId="50B2A4C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《中华人民共和国行政处罚法》第四十五条　当事人有权进行陈述和申辩。行政机关必须充分听取当事人的意见，对当事人提出的事实、理由和证据，应当进行复核；当事人提出的事实、理由或者证据成立的，行政机关应当采纳。</w:t>
            </w:r>
          </w:p>
          <w:p w14:paraId="227284A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《中华人民共和国行政处罚法》第六十三条　行政机关拟作出下列行政处罚决定，应当告知当事人有要求听证的权利，当事人要求听证的，行政机关应当组织听证：</w:t>
            </w:r>
          </w:p>
          <w:p w14:paraId="136C79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第三十九条“行政机关依照本法第三十八条的规定给予行政处罚，应当制作行政处罚决定书。行政处罚决定书应当载明下列事项：…”</w:t>
            </w:r>
          </w:p>
          <w:p w14:paraId="5F24FD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第四十条“行政处罚决定书应当在宣告后当场交付当事人；当事人不在场的，行政机关应当在七日内依照民事诉讼法的有关规定，将行政处罚决定书送达当事人。”</w:t>
            </w:r>
          </w:p>
          <w:p w14:paraId="3F1466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第四十四条“行政处罚决定依法作出后，当事人应当在行政处罚决定的期限内，予以履行。”</w:t>
            </w:r>
          </w:p>
          <w:p w14:paraId="77E707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w:t>
            </w:r>
          </w:p>
          <w:p w14:paraId="52D9DD8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（三）申请人民法院强制执行。”</w:t>
            </w:r>
          </w:p>
        </w:tc>
        <w:tc>
          <w:tcPr>
            <w:tcW w:w="1026" w:type="dxa"/>
            <w:noWrap w:val="0"/>
            <w:vAlign w:val="center"/>
          </w:tcPr>
          <w:p w14:paraId="2467CD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FADBD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566F31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C766B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54C3B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09D6DE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F3D86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2CDF8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BADE7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EF73C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3031B07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0ACA64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4E53C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F1B17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8F676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EB4F6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F362E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6DE03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7376C6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4DDF9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DC22A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C240E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43B5D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E01CE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32841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BB97C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1B00A8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58920C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3B261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4A3335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67270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B1A89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6E5FA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4C704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DA6EA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0D9F8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8A0FB1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657C0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C93CCE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B9246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31500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05DC85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DC6F2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5EFD6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3DB66F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F2B90FA">
            <w:pPr>
              <w:shd w:val="clear" w:color="auto" w:fill="FFFFFF"/>
              <w:adjustRightInd w:val="0"/>
              <w:snapToGrid w:val="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2C6D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21ACF428">
            <w:pPr>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lang w:val="en-US" w:eastAsia="zh-CN"/>
              </w:rPr>
              <w:t>78</w:t>
            </w:r>
          </w:p>
        </w:tc>
        <w:tc>
          <w:tcPr>
            <w:tcW w:w="608" w:type="dxa"/>
            <w:noWrap w:val="0"/>
            <w:vAlign w:val="center"/>
          </w:tcPr>
          <w:p w14:paraId="7C32D7FE">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对侵犯植物新品种权行为的处罚</w:t>
            </w:r>
          </w:p>
        </w:tc>
        <w:tc>
          <w:tcPr>
            <w:tcW w:w="607" w:type="dxa"/>
            <w:noWrap w:val="0"/>
            <w:vAlign w:val="center"/>
          </w:tcPr>
          <w:p w14:paraId="10AA2FBB">
            <w:pP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D46C20F">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0222068000</w:t>
            </w:r>
          </w:p>
        </w:tc>
        <w:tc>
          <w:tcPr>
            <w:tcW w:w="1538" w:type="dxa"/>
            <w:noWrap w:val="0"/>
            <w:vAlign w:val="center"/>
          </w:tcPr>
          <w:p w14:paraId="64D4656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55DC63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第二十八条　植物新品种权所有人对其授权品种享有排他的独占权。植物新品种权所有人可以将植物新品种权许可他人实施，并按照合同约定收取许可使用费；许可使用费可以采取固定价款、从推广收益中提成等方式收取。</w:t>
            </w:r>
          </w:p>
          <w:p w14:paraId="0F8F3B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任何单位或者个人未经植物新品种权所有人许可，不得生产、繁殖和为繁殖而进行处理、许诺销售、销售、进口、出口以及为实施上述行为储存该授权品种的繁殖材料，不得为商业目的将该授权品种的繁殖材料重复使用于生产另一品种的繁殖材料。本法、有关法律、行政法规另有规定的除外。</w:t>
            </w:r>
          </w:p>
          <w:p w14:paraId="5D22A9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实施前款规定的行为，涉及由未经许可使用授权品种的繁殖材料而获得的收获材料的，应当得到植物新品种权所有人的许可；但是，植物新品种权所有人对繁殖材料已有合理机会行使其权利的除外。</w:t>
            </w:r>
          </w:p>
          <w:p w14:paraId="6107F4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对实质性派生品种实施第二款、第三款规定行为的，应当征得原始品种的植物新品种权所有人的同意。</w:t>
            </w:r>
          </w:p>
          <w:p w14:paraId="69CAE5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实质性派生品种制度的实施步骤和办法由国务院规定。</w:t>
            </w:r>
          </w:p>
          <w:p w14:paraId="51AF6F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第七十二条　违反本法第二十八条规定，有侵犯植物新品种权行为的，由当事人协商解决，不愿协商或者协商不成的，植物新品种权所有人或者利害关系人可以请求县级以上人民政府农业农村、林业草原主管部门进行处理，也可以直接向人民法院提起诉讼。</w:t>
            </w:r>
          </w:p>
          <w:p w14:paraId="3266C4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县级以上人民政府农业农村、林业草原主管部门，根据当事人自愿的原则，对侵犯植物新品种权所造成的损害赔偿可以进行调解。调解达成协议的，当事人应当履行；当事人不履行协议或者调解未达成协议的，植物新品种权所有人或者利害关系人可以依法向人民法院提起诉讼。</w:t>
            </w:r>
          </w:p>
          <w:p w14:paraId="093BDA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侵犯植物新品种权的赔偿数额按照权利人因被侵权所受到的实际损失确定；实际损失难以确定的，可以按照侵权人因侵权所获得的利益确定。权利人的损失或者侵权人获得的利益难以确定的，可以参照该植物新品种权许可使用费的倍数合理确定。故意侵犯植物新品种权，情节严重的，可以在按照上述方法确定数额的一倍以上五倍以下确定赔偿数额。</w:t>
            </w:r>
          </w:p>
          <w:p w14:paraId="0BF992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权利人的损失、侵权人获得的利益和植物新品种权许可使用费均难以确定的，人民法院可以根据植物新品种权的类型、侵权行为的性质和情节等因素，确定给予五百万元以下的赔偿。</w:t>
            </w:r>
          </w:p>
          <w:p w14:paraId="1361BF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赔偿数额应当包括权利人为制止侵权行为所支付的合理开支。</w:t>
            </w:r>
          </w:p>
          <w:p w14:paraId="0878D9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县级以上人民政府农业农村、林业草原主管部门处理侵犯植物新品种权案件时，为了维护社会公共利益，责令侵权人停止侵权行为，没收违法所得和种子；货值金额不足五万元的，并处一万元以上二十五万元以下罚款；货值金额五万元以上的，并处货值金额五倍以上十倍以下罚款。</w:t>
            </w:r>
          </w:p>
          <w:p w14:paraId="490A54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假冒授权品种的，由县级以上人民政府农业农村、林业草原主管部门责令停止假冒行为，没收违法所得和种子；货值金额不足五万元的，并处一万元以上二十五万元以下罚款；货值金额五万元以上的，并处货值金额五倍以上十倍以下罚款。</w:t>
            </w:r>
          </w:p>
          <w:p w14:paraId="581B99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【行政法规】《中华人民共和国植物新品种保护条例》 (2014年国务院令第653号修正)</w:t>
            </w:r>
          </w:p>
          <w:p w14:paraId="47BE462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三十九条省级以上人民政府农业、林业行政部门依据各自的职权处理品种权侵权案件时，为维护社会公共利益，可以责令侵权人停止侵权行为，没收违法所得和植物品种繁殖材料；货值金额5万元以上的，可处货值金额1倍以上5倍以下的罚款；没有货值金额或者货值金额5万元以下的，根据情节轻重，可处25万元以下的罚款。</w:t>
            </w:r>
          </w:p>
        </w:tc>
        <w:tc>
          <w:tcPr>
            <w:tcW w:w="607" w:type="dxa"/>
            <w:noWrap w:val="0"/>
            <w:vAlign w:val="top"/>
          </w:tcPr>
          <w:p w14:paraId="49DB8405">
            <w:pPr>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对非法生产、繁殖或者销售授权品种的繁殖材料行为的处罚</w:t>
            </w:r>
          </w:p>
        </w:tc>
        <w:tc>
          <w:tcPr>
            <w:tcW w:w="1899" w:type="dxa"/>
            <w:noWrap w:val="0"/>
            <w:vAlign w:val="center"/>
          </w:tcPr>
          <w:p w14:paraId="482419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E97C1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68EDD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D1094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5E24A6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7143FF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3CBB379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7F390FB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4E127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7B3D29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50F86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5E536A7">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3346F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40C5E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969D3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945D8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0D3EE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5DF49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10D83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FC79E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9A3FC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472BD7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027015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E104C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679D45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D7C1E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5672B3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3D427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C1072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212B2C26">
            <w:pPr>
              <w:shd w:val="clear" w:color="auto" w:fill="FFFFFF"/>
              <w:adjustRightInd w:val="0"/>
              <w:snapToGrid w:val="0"/>
              <w:rPr>
                <w:rFonts w:hint="eastAsia" w:ascii="仿宋_GB2312" w:hAnsi="仿宋_GB2312" w:eastAsia="仿宋_GB2312" w:cs="仿宋_GB2312"/>
                <w:color w:val="auto"/>
                <w:sz w:val="18"/>
                <w:szCs w:val="18"/>
                <w:highlight w:val="none"/>
              </w:rPr>
            </w:pPr>
          </w:p>
          <w:p w14:paraId="695F67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6882D6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36904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36E0D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F2008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2BE50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63CD5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AF382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E0BA8C0">
            <w:pPr>
              <w:shd w:val="clear" w:color="auto" w:fill="FFFFFF"/>
              <w:adjustRightInd w:val="0"/>
              <w:snapToGrid w:val="0"/>
              <w:rPr>
                <w:rFonts w:hint="eastAsia" w:ascii="仿宋_GB2312" w:hAnsi="仿宋_GB2312" w:eastAsia="仿宋_GB2312" w:cs="仿宋_GB2312"/>
                <w:color w:val="auto"/>
                <w:sz w:val="18"/>
                <w:szCs w:val="18"/>
                <w:highlight w:val="none"/>
              </w:rPr>
            </w:pPr>
          </w:p>
          <w:p w14:paraId="4B6832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5B37F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5EAF76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E0F06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D95F4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40EBE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FF569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88B8EF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0DA41D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5DF9A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7A918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3D420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8A2FD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96D21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2526E0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09D1A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CCDCC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4C4CD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67CD66F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FB0C2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034262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C66CC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C8510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97545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2C427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4EE1E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FAE809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AD6E8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1890B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54FCF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104811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23D9F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56FF03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77E9C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D37C3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261B5A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3C6C7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B14C68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6BC1AB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E3A98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2BA70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6120E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2644B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06E18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0453374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BDAA9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D612DC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6851E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E0D26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0DE6B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63B0CA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0ED98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0C8CEB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8FA445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C4823E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96F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6232535A">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79</w:t>
            </w:r>
          </w:p>
        </w:tc>
        <w:tc>
          <w:tcPr>
            <w:tcW w:w="608" w:type="dxa"/>
            <w:noWrap w:val="0"/>
            <w:vAlign w:val="center"/>
          </w:tcPr>
          <w:p w14:paraId="0ECA5280">
            <w:pPr>
              <w:rPr>
                <w:rFonts w:hint="eastAsia" w:ascii="仿宋_GB2312" w:hAnsi="仿宋_GB2312" w:eastAsia="仿宋_GB2312" w:cs="仿宋_GB2312"/>
                <w:color w:val="auto"/>
                <w:sz w:val="18"/>
                <w:szCs w:val="18"/>
                <w:highlight w:val="none"/>
              </w:rPr>
            </w:pPr>
          </w:p>
          <w:p w14:paraId="03071B01">
            <w:pPr>
              <w:rPr>
                <w:rFonts w:hint="eastAsia" w:ascii="仿宋_GB2312" w:hAnsi="仿宋_GB2312" w:eastAsia="仿宋_GB2312" w:cs="仿宋_GB2312"/>
                <w:color w:val="auto"/>
                <w:sz w:val="18"/>
                <w:szCs w:val="18"/>
                <w:highlight w:val="none"/>
              </w:rPr>
            </w:pPr>
          </w:p>
          <w:p w14:paraId="4B9AECED">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对非法提供种子生产经营许可证行为的处罚</w:t>
            </w:r>
          </w:p>
        </w:tc>
        <w:tc>
          <w:tcPr>
            <w:tcW w:w="607" w:type="dxa"/>
            <w:noWrap w:val="0"/>
            <w:vAlign w:val="center"/>
          </w:tcPr>
          <w:p w14:paraId="273DAA76">
            <w:pP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9C865D5">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0222069000</w:t>
            </w:r>
          </w:p>
        </w:tc>
        <w:tc>
          <w:tcPr>
            <w:tcW w:w="1538" w:type="dxa"/>
            <w:noWrap w:val="0"/>
            <w:vAlign w:val="center"/>
          </w:tcPr>
          <w:p w14:paraId="08F3256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【法律】《中华人民共和国种子法》（2021年修订）</w:t>
            </w:r>
          </w:p>
          <w:p w14:paraId="6E495898">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第三十二条　申请取得种子生产经营许可证的，应当具有与种子生产经营相适应的生产经营设施、设备及专业技术人员，以及法规和国务院农业农村、林业草原主管部门规定的其他条件。</w:t>
            </w:r>
          </w:p>
          <w:p w14:paraId="46E5487C">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从事种子生产的，还应当同时具有繁殖种子的隔离和培育条件，具有无检疫性有害生物的种子生产地点或者县级以上人民政府林业草原主管部门确定的采种林。</w:t>
            </w:r>
          </w:p>
          <w:p w14:paraId="54D520B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申请领取具有植物新品种权的种子生产经营许可证的，应当征得植物新品种权所有人的书面同意。</w:t>
            </w:r>
          </w:p>
          <w:p w14:paraId="35FADBAB">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第三十三条　种子生产经营许可证应当载明生产经营者名称、地址、法定代表人、生产种子的品种、地点和种子经营的范围、有效期限、有效区域等事项。</w:t>
            </w:r>
          </w:p>
          <w:p w14:paraId="7F923F29">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前款事项发生变更的，应当自变更之日起三十日内，向原核发许可证机关申请变更登记。</w:t>
            </w:r>
          </w:p>
          <w:p w14:paraId="1F6DA6D3">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除本法另有规定外，禁止任何单位和个人无种子生产经营许可证或者违反种子生产经营许可证的规定生产、经营种子。禁止伪造、变造、买卖、租借种子生产经营许可证。第七十六条　违反本法第三十二条、第三十三条、第三十四条规定，有下列行为之一的，由县级以上人民政府农业农村、林业草原主管部门责令改正，没收违法所得和种子；违法生产经营的货值金额不足一万元的，并处三千元以上三万元以下罚款；货值金额一万元以上的，并处货值金额三倍以上五倍以下罚款；可以吊销种子生产经营许可证：</w:t>
            </w:r>
          </w:p>
          <w:p w14:paraId="093E0F5F">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（一）未取得种子生产经营许可证生产经营种子的；</w:t>
            </w:r>
          </w:p>
          <w:p w14:paraId="68482B79">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（二）以欺骗、贿赂等不正当手段取得种子生产经营许可证的；</w:t>
            </w:r>
          </w:p>
          <w:p w14:paraId="24FB2813">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（三）未按照种子生产经营许可证的规定生产经营种子的；</w:t>
            </w:r>
          </w:p>
          <w:p w14:paraId="1FA99A4D">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（四）伪造、变造、买卖、租借种子生产经营许可证的；</w:t>
            </w:r>
          </w:p>
          <w:p w14:paraId="4F7DC09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（五）不再具有繁殖种子的隔离和培育条件，或者不再具有无检疫性有害生物的种子生产地点或者县级以上人民政府林业草原主管部门确定的采种林，继续从事种子生产的；</w:t>
            </w:r>
          </w:p>
          <w:p w14:paraId="575B7B9B">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（六）未执行种子检验、检疫规程生产种子的。</w:t>
            </w:r>
          </w:p>
          <w:p w14:paraId="685F237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被吊销种子生产经营许可证的单位，其法定代表人、直接负责的主管人员自处罚决定作出之日起五年内不得担任种子企业的法定代表人、高级管理人员。</w:t>
            </w:r>
          </w:p>
        </w:tc>
        <w:tc>
          <w:tcPr>
            <w:tcW w:w="607" w:type="dxa"/>
            <w:noWrap w:val="0"/>
            <w:vAlign w:val="center"/>
          </w:tcPr>
          <w:p w14:paraId="1FFA7677">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对非法提供种子生产经营许可证行为的处罚</w:t>
            </w:r>
          </w:p>
        </w:tc>
        <w:tc>
          <w:tcPr>
            <w:tcW w:w="1899" w:type="dxa"/>
            <w:noWrap w:val="0"/>
            <w:vAlign w:val="center"/>
          </w:tcPr>
          <w:p w14:paraId="3B9FCCA9">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1.立案责任：对涉嫌违法的行为，予以审查，决定是否立案。</w:t>
            </w:r>
          </w:p>
          <w:p w14:paraId="3911C7B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2.调查责任：对立案的案件，指定专人负责，及时组织调查取证，与当事人有直接利害关系的应当回避。执法人员不得少于两人，调查时应出示执法证件，允许当事人辩解陈述。执法人员应保守有关秘密。</w:t>
            </w:r>
          </w:p>
          <w:p w14:paraId="6DDDDC60">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3.审查责任：审理案件调查报告，对案件违法事实、证据、调查取证程序、法律适用、处罚种类和幅度、当事人陈述和申辩理由等方面进行审查，提出处理意见（主要证据不足时，以适当的方式补充调查）。</w:t>
            </w:r>
          </w:p>
          <w:p w14:paraId="7BF0B148">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4.告知责任：作出行政处罚决定前，应制作《行政处罚告知书》送达当事人，告知违法事实及其享有的陈述、申辩等权利。符合听证规定的，制作并送达《行政处罚听证告知书》。</w:t>
            </w:r>
          </w:p>
          <w:p w14:paraId="62FD6B2F">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5.决定责任：依法予以处罚的，制作行政处罚决定书，载明违法事实和证据、处罚依据和内容、申请行政复议或提起行政诉讼的途径和期限等内容。</w:t>
            </w:r>
          </w:p>
          <w:p w14:paraId="4B44187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6.送达责任：行政处罚决定书按法律规定的方式送达当事人。</w:t>
            </w:r>
          </w:p>
          <w:p w14:paraId="45984B5C">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7.执行责任：依照生效的行政处罚决定，依法予以执行。</w:t>
            </w:r>
          </w:p>
          <w:p w14:paraId="4CC21D6B">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8.其他法律法规规章文件规定应履行的责任。</w:t>
            </w:r>
          </w:p>
        </w:tc>
        <w:tc>
          <w:tcPr>
            <w:tcW w:w="2430" w:type="dxa"/>
            <w:noWrap w:val="0"/>
            <w:vAlign w:val="center"/>
          </w:tcPr>
          <w:p w14:paraId="6158734D">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1.《中华人民共和国行政处罚法》第二十三条　行政处罚由县级以上地方人民政府具有行政处罚权的行政机关管辖。法律、行政法规另有规定的，从其规定。</w:t>
            </w:r>
          </w:p>
          <w:p w14:paraId="0013D22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2-1.第五十四条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B931F28">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符合立案标准的，行政机关应当及时立案。</w:t>
            </w:r>
          </w:p>
          <w:p w14:paraId="289C0F8C">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2-2.第四十二条　行政处罚应当由具有行政执法资格的执法人员实施。执法人员不得少于两人，法律另有规定的除外。执法人员应当文明执法，尊重和保护当事人合法权益。　　</w:t>
            </w:r>
          </w:p>
          <w:p w14:paraId="77CA5FD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3715AB8">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3.《中华人民共和国行政处罚法》第五十七条　调查终结，行政机关负责人应当对调查结果进行审查，根据不同情况，分别作出如下决定：</w:t>
            </w:r>
          </w:p>
          <w:p w14:paraId="56C026F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（一）确有应受行政处罚的违法行为的，根据情节轻重及具体情况，作出行政处罚决定；</w:t>
            </w:r>
          </w:p>
          <w:p w14:paraId="19132279">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（二）违法行为轻微，依法可以不予行政处罚的，不予行政处罚；</w:t>
            </w:r>
          </w:p>
          <w:p w14:paraId="13BB7D88">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（三）违法事实不能成立的，不予行政处罚；</w:t>
            </w:r>
          </w:p>
          <w:p w14:paraId="47DC4AA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（四）违法行为涉嫌犯罪的，移送司法机关。</w:t>
            </w:r>
          </w:p>
          <w:p w14:paraId="33312CEE">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对情节复杂或者重大违法行为给予行政处罚，行政机关负责人应当集体讨论决定。</w:t>
            </w:r>
          </w:p>
          <w:p w14:paraId="62507D7B">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4-1.《中华人民共和国行政处罚法》第四十四条　行政机关在作出行政处罚决定之前，应当告知当事人拟作出的行政处罚内容及事实、理由、依据，并告知当事人依法享有的陈述、申辩、要求听证等权利。</w:t>
            </w:r>
          </w:p>
          <w:p w14:paraId="075E175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4-2.《中华人民共和国行政处罚法》第四十五条　当事人有权进行陈述和申辩。行政机关必须充分听取当事人的意见，对当事人提出的事实、理由和证据，应当进行复核；当事人提出的事实、理由或者证据成立的，行政机关应当采纳。</w:t>
            </w:r>
          </w:p>
          <w:p w14:paraId="1BA543FD">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4-3.《中华人民共和国行政处罚法》第六十三条　行政机关拟作出下列行政处罚决定，应当告知当事人有要求听证的权利，当事人要求听证的，行政机关应当组织听证：</w:t>
            </w:r>
          </w:p>
          <w:p w14:paraId="0830857E">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（一）较大数额罚款；</w:t>
            </w:r>
          </w:p>
          <w:p w14:paraId="0AC5EE87">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（二）没收较大数额违法所得、没收较大价值非法财物；</w:t>
            </w:r>
          </w:p>
          <w:p w14:paraId="035F8A3A">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（三）降低资质等级、吊销许可证件；</w:t>
            </w:r>
          </w:p>
          <w:p w14:paraId="7EA4C975">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（四）责令停产停业、责令关闭、限制从业；</w:t>
            </w:r>
          </w:p>
          <w:p w14:paraId="2EFAA54A">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（五）其他较重的行政处罚；</w:t>
            </w:r>
          </w:p>
          <w:p w14:paraId="3350B80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（六）法律、法规、规章规定的其他情形。</w:t>
            </w:r>
          </w:p>
          <w:p w14:paraId="022B9587">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当事人不承担行政机关组织听证的费用。</w:t>
            </w:r>
          </w:p>
          <w:p w14:paraId="57D32965">
            <w:pPr>
              <w:snapToGrid w:val="0"/>
              <w:jc w:val="center"/>
              <w:rPr>
                <w:rFonts w:hint="eastAsia" w:ascii="仿宋_GB2312" w:hAnsi="仿宋_GB2312" w:eastAsia="仿宋_GB2312" w:cs="仿宋_GB2312"/>
                <w:color w:val="auto"/>
                <w:kern w:val="2"/>
                <w:sz w:val="18"/>
                <w:szCs w:val="18"/>
                <w:highlight w:val="none"/>
                <w:lang w:val="en-US" w:eastAsia="zh-CN" w:bidi="ar-SA"/>
              </w:rPr>
            </w:pPr>
          </w:p>
          <w:p w14:paraId="272268E3">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5.《中华人民共和国行政处罚法》《中华人民共和国行政处罚法》第五十九条　行政机关依照本法第五十七条的规定给予行政处罚，应当制作行政处罚决定书。行政处罚决定书应当载明下列事项：</w:t>
            </w:r>
          </w:p>
          <w:p w14:paraId="3128DDD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（一）当事人的姓名或者名称、地址；</w:t>
            </w:r>
          </w:p>
          <w:p w14:paraId="14D97ED7">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（二）违反法律、法规、规章的事实和证据；</w:t>
            </w:r>
          </w:p>
          <w:p w14:paraId="153A06F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（三）行政处罚的种类和依据；</w:t>
            </w:r>
          </w:p>
          <w:p w14:paraId="47C5A845">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（四）行政处罚的履行方式和期限；</w:t>
            </w:r>
          </w:p>
          <w:p w14:paraId="7D5CFCC3">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（五）申请行政复议、提起行政诉讼的途径和期限；</w:t>
            </w:r>
          </w:p>
          <w:p w14:paraId="7DC2F700">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（六）作出行政处罚决定的行政机关名称和作出决定的日期。</w:t>
            </w:r>
          </w:p>
          <w:p w14:paraId="46B9D337">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行政处罚决定书必须盖有作出行政处罚决定的行政机关的印章。</w:t>
            </w:r>
          </w:p>
          <w:p w14:paraId="7D8B434D">
            <w:pPr>
              <w:snapToGrid w:val="0"/>
              <w:jc w:val="center"/>
              <w:rPr>
                <w:rFonts w:hint="eastAsia" w:ascii="仿宋_GB2312" w:hAnsi="仿宋_GB2312" w:eastAsia="仿宋_GB2312" w:cs="仿宋_GB2312"/>
                <w:color w:val="auto"/>
                <w:kern w:val="2"/>
                <w:sz w:val="18"/>
                <w:szCs w:val="18"/>
                <w:highlight w:val="none"/>
                <w:lang w:val="en-US" w:eastAsia="zh-CN" w:bidi="ar-SA"/>
              </w:rPr>
            </w:pPr>
          </w:p>
          <w:p w14:paraId="303B3663">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6．《中华人民共和国行政处罚法》第六十一条　行政处罚决定书应当在宣告后当场交付当事人；当事人不在场的，行政机关应当在七日内依照《中华人民共和国民事诉讼法》的有关规定，将行政处罚决定书送达当事人。</w:t>
            </w:r>
          </w:p>
          <w:p w14:paraId="63F803B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7-1.《中华人民共和国行政处罚法》第六十六条　行政处罚决定依法作出后，当事人应当在行政处罚决定书载明的期限内，予以履行。</w:t>
            </w:r>
          </w:p>
          <w:p w14:paraId="502542FD">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7-2.《中华人民共和国行政处罚法》第七十二条　当事人逾期不履行行政处罚决定的，作出行政处罚决定的行政机关可以采取下列措施：</w:t>
            </w:r>
          </w:p>
          <w:p w14:paraId="65D484C5">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（一）到期不缴纳罚款的，每日按罚款数额的百分之三加处罚款，加处罚款的数额不得超出罚款的数额；</w:t>
            </w:r>
          </w:p>
          <w:p w14:paraId="435755B1">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（二）根据法律规定，将查封、扣押的财物拍卖、依法处理或者将冻结的存款、汇款划拨抵缴罚款；</w:t>
            </w:r>
          </w:p>
          <w:p w14:paraId="222120E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（三）根据法律规定，采取其他行政强制执行方式；</w:t>
            </w:r>
          </w:p>
          <w:p w14:paraId="584881C0">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（四）依照《中华人民共和国行政强制法》的规定申请人民法院强制执行。</w:t>
            </w:r>
          </w:p>
          <w:p w14:paraId="48BA9301">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行政机关批准延期、分期缴纳罚款的，申请人民法院强制执行的期限，自暂缓或者分期缴纳罚款期限结束之日起计算。</w:t>
            </w:r>
          </w:p>
        </w:tc>
        <w:tc>
          <w:tcPr>
            <w:tcW w:w="1026" w:type="dxa"/>
            <w:noWrap w:val="0"/>
            <w:vAlign w:val="center"/>
          </w:tcPr>
          <w:p w14:paraId="1BAB7BCA">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因不履行或不正确履行行政职责，有下列情形的，行政机关及相关工作人员应承担相应责任：</w:t>
            </w:r>
          </w:p>
          <w:p w14:paraId="3885FDDF">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1.没有法律和事实依据实施行政处罚的；</w:t>
            </w:r>
          </w:p>
          <w:p w14:paraId="0EF9AF1E">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2.执法人员玩忽职守，对应当予以制止或处罚的违法行为不予制止、处罚的；</w:t>
            </w:r>
          </w:p>
          <w:p w14:paraId="1D6D2791">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3.不具备行政执法资格实施行政处罚的；</w:t>
            </w:r>
          </w:p>
          <w:p w14:paraId="678CB030">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4.应当依法移送追究刑事责任，而未依法移送有权机关的；</w:t>
            </w:r>
          </w:p>
          <w:p w14:paraId="55C4A973">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5.未按裁量权规定，滥用裁量权的；行政处罚显失公正的；</w:t>
            </w:r>
          </w:p>
          <w:p w14:paraId="69942410">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6.违反法定的行政处罚程序的；</w:t>
            </w:r>
          </w:p>
          <w:p w14:paraId="049C4650">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7.符合听证条件、行政管理相对人要求听证，应予组织听证而不组织听证；</w:t>
            </w:r>
          </w:p>
          <w:p w14:paraId="6F65342B">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8.在行政处罚过程中发生腐败行为的；</w:t>
            </w:r>
          </w:p>
          <w:p w14:paraId="1C38F8E1">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9.侵害公民、法人或者其他组织合法权益造成损失并依法承担行政赔偿责任的；</w:t>
            </w:r>
          </w:p>
          <w:p w14:paraId="35DA94BB">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10.其他违反法律法规规章文件规定的行为。</w:t>
            </w:r>
          </w:p>
        </w:tc>
        <w:tc>
          <w:tcPr>
            <w:tcW w:w="2506" w:type="dxa"/>
            <w:noWrap w:val="0"/>
            <w:vAlign w:val="top"/>
          </w:tcPr>
          <w:p w14:paraId="022E0FB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1.《中华人民共和国行政处罚法》第七十六条　行政机关实施行政处罚，有下列情形之一，由上级行政机关或者有关机关责令改正，对直接负责的主管人员和其他直接责任人员依法给予处分：</w:t>
            </w:r>
          </w:p>
          <w:p w14:paraId="4178B56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（一）没有法定的行政处罚依据的；</w:t>
            </w:r>
          </w:p>
          <w:p w14:paraId="2F68866D">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（二）擅自改变行政处罚种类、幅度的；</w:t>
            </w:r>
          </w:p>
          <w:p w14:paraId="51DBBA9E">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（三）违反法定的行政处罚程序的；</w:t>
            </w:r>
          </w:p>
          <w:p w14:paraId="77127A6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（四）违反本法第二十条关于委托处罚的规定的；</w:t>
            </w:r>
          </w:p>
          <w:p w14:paraId="0D9675A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（五）执法人员未取得执法证件的。</w:t>
            </w:r>
          </w:p>
          <w:p w14:paraId="6A8E6719">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行政机关对符合立案标准的案件不及时立案的，依照前款规定予以处理。</w:t>
            </w:r>
          </w:p>
          <w:p w14:paraId="18D1A1A1">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432CE9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3.《宁夏回族自治区行政程序规定》第一百一十三条“行政机关及其工作人员违反本规定，有下列情形之一的，依照国家和自治区有关规定追究责任：（一）不具有行政执法主体资格实施行政执法行为的；”</w:t>
            </w:r>
          </w:p>
          <w:p w14:paraId="2DF046EB">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4.《中华人民共和国行政处罚法》第八十二条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1189439">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5-1.《宁夏回族自治区行政程序规定》第一百一十三条“行政机关及其工作人员违反本规定，有下列情形之一的，依照国家和自治区有关规定追究责任：…（六）不按照行政裁量权基准进行裁量的；……”</w:t>
            </w:r>
          </w:p>
          <w:p w14:paraId="7688A80E">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5-2.《宁夏回族自治区行政执法监督条例》</w:t>
            </w:r>
          </w:p>
          <w:p w14:paraId="736AFA6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第二十二条“行政执法监督机关或者监督机构应当加强行政执法主体具体行政行为的监督，有下列情形之一的，依法予以纠正。（四）显失公正、明显不当的；”</w:t>
            </w:r>
          </w:p>
          <w:p w14:paraId="731EDE04">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6.《中华人民共和国行政处罚法》第七十六条　行政机关实施行政处罚，有下列情形之一，由上级行政机关或者有关机关责令改正，对直接负责的主管人员和其他直接责任人员依法给予处分：</w:t>
            </w:r>
          </w:p>
          <w:p w14:paraId="0B8BB100">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（三）违反法定的行政处罚程序的。”</w:t>
            </w:r>
          </w:p>
          <w:p w14:paraId="7DBADD17">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7.《宁夏回族自治区行政程序规定》第一百一十三条“行政机关及其工作人员违反本规定，有下列情形之一的，依照国家和自治区有关规定追究责任：（四）不履行或者拖延履行法定职责的；……”</w:t>
            </w:r>
          </w:p>
          <w:p w14:paraId="227515F6">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8.《中华人民共和国行政处罚法》第七十九条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89789E2">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　　执法人员利用职务上的便利，索取或者收受他人财物、将收缴罚款据为己有，构成犯罪的，依法追究刑事责任；情节轻微不构成犯罪的，依法给予处分。</w:t>
            </w:r>
          </w:p>
          <w:p w14:paraId="5C99370E">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
                <w:sz w:val="18"/>
                <w:szCs w:val="18"/>
                <w:highlight w:val="none"/>
                <w:lang w:val="en-US" w:eastAsia="zh-CN" w:bidi="ar-SA"/>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9EA23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20D19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0641A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E829E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9D802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17FDB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7F7393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2AD60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F3DC04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A4050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53211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20A96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9DC90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FD651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C965FC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0186B9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8AEE4C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8FA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EEFF340">
            <w:pPr>
              <w:snapToGrid w:val="0"/>
              <w:jc w:val="center"/>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80</w:t>
            </w:r>
          </w:p>
        </w:tc>
        <w:tc>
          <w:tcPr>
            <w:tcW w:w="608" w:type="dxa"/>
            <w:noWrap w:val="0"/>
            <w:vAlign w:val="center"/>
          </w:tcPr>
          <w:p w14:paraId="69F3B7B4">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对未使用注册名称销售授权品种行为的处罚</w:t>
            </w:r>
          </w:p>
        </w:tc>
        <w:tc>
          <w:tcPr>
            <w:tcW w:w="607" w:type="dxa"/>
            <w:noWrap w:val="0"/>
            <w:vAlign w:val="center"/>
          </w:tcPr>
          <w:p w14:paraId="20D5E91C">
            <w:pPr>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EFB7EBC">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0222070000</w:t>
            </w:r>
          </w:p>
        </w:tc>
        <w:tc>
          <w:tcPr>
            <w:tcW w:w="1538" w:type="dxa"/>
            <w:noWrap w:val="0"/>
            <w:vAlign w:val="center"/>
          </w:tcPr>
          <w:p w14:paraId="00C223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【行政法规】《中华人民共和国植物新品种保护条例》（2014年国务院令第653号）</w:t>
            </w:r>
          </w:p>
          <w:p w14:paraId="657426F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第四十二条　销售授权品种未使用其注册登记的名称的，由县级以上人民政府农业、林业行政部门依据各自的职权责令限期改正，可以处1000元以下的罚款。</w:t>
            </w:r>
          </w:p>
        </w:tc>
        <w:tc>
          <w:tcPr>
            <w:tcW w:w="607" w:type="dxa"/>
            <w:noWrap w:val="0"/>
            <w:vAlign w:val="center"/>
          </w:tcPr>
          <w:p w14:paraId="18E22D09">
            <w:pPr>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对未使用注册名称销售授权品种行为的处罚</w:t>
            </w:r>
          </w:p>
        </w:tc>
        <w:tc>
          <w:tcPr>
            <w:tcW w:w="1899" w:type="dxa"/>
            <w:noWrap w:val="0"/>
            <w:vAlign w:val="center"/>
          </w:tcPr>
          <w:p w14:paraId="45174C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0C1402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417449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675FE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C3FBC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B8452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910E87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B22C33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2CC21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532EF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5A0F7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54036FE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0A08B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20A49C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7C886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1566D7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3EB41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A2176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120B6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E9958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52781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26E66D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E5204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157DB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3CE375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9F4BA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D7812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6300F5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DB0C9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3EDD647">
            <w:pPr>
              <w:shd w:val="clear" w:color="auto" w:fill="FFFFFF"/>
              <w:adjustRightInd w:val="0"/>
              <w:snapToGrid w:val="0"/>
              <w:rPr>
                <w:rFonts w:hint="eastAsia" w:ascii="仿宋_GB2312" w:hAnsi="仿宋_GB2312" w:eastAsia="仿宋_GB2312" w:cs="仿宋_GB2312"/>
                <w:color w:val="auto"/>
                <w:sz w:val="18"/>
                <w:szCs w:val="18"/>
                <w:highlight w:val="none"/>
              </w:rPr>
            </w:pPr>
          </w:p>
          <w:p w14:paraId="752ED7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FDD0E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7EA22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0FD7E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D0205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1C89F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7C0EFC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89A1C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23DF0A48">
            <w:pPr>
              <w:shd w:val="clear" w:color="auto" w:fill="FFFFFF"/>
              <w:adjustRightInd w:val="0"/>
              <w:snapToGrid w:val="0"/>
              <w:rPr>
                <w:rFonts w:hint="eastAsia" w:ascii="仿宋_GB2312" w:hAnsi="仿宋_GB2312" w:eastAsia="仿宋_GB2312" w:cs="仿宋_GB2312"/>
                <w:color w:val="auto"/>
                <w:sz w:val="18"/>
                <w:szCs w:val="18"/>
                <w:highlight w:val="none"/>
              </w:rPr>
            </w:pPr>
          </w:p>
          <w:p w14:paraId="7F40D8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15538F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FDD81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3A25C5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37CA97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812E9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82933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325D24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7DABA8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54E85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69688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5220B2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7D730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0E41B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04FD39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FEC18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63248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63A77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5B756D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2F761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84CB0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85EA5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31B09D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E4C13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53FDBA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214523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61E075C4">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1E95F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18531F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65CB45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55DA01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108E33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A91D8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6B4BB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40DBFA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5BDA0A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8EC19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F4F15B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1A0D28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8B8FF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190576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9A816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FA1B9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8AE69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90F0E06">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55D1E4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111F3B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0186C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618CE5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B38BA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534F23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E5785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C7CFD7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D1DD3E7">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46A3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82A1A9F">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81</w:t>
            </w:r>
          </w:p>
        </w:tc>
        <w:tc>
          <w:tcPr>
            <w:tcW w:w="608" w:type="dxa"/>
            <w:noWrap w:val="0"/>
            <w:vAlign w:val="center"/>
          </w:tcPr>
          <w:p w14:paraId="4F771100">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对未取得采集证或者未按照采集证的规定采集国家重点保护野生植物行为的处罚</w:t>
            </w:r>
          </w:p>
        </w:tc>
        <w:tc>
          <w:tcPr>
            <w:tcW w:w="607" w:type="dxa"/>
            <w:noWrap w:val="0"/>
            <w:vAlign w:val="center"/>
          </w:tcPr>
          <w:p w14:paraId="4F30C1BB">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5C162E74">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0222071000</w:t>
            </w:r>
          </w:p>
        </w:tc>
        <w:tc>
          <w:tcPr>
            <w:tcW w:w="1538" w:type="dxa"/>
            <w:noWrap w:val="0"/>
            <w:vAlign w:val="center"/>
          </w:tcPr>
          <w:p w14:paraId="4422642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【行政法规】《中华人民共和国野生植物保护条例》（2017年第687号国务院令修改）</w:t>
            </w:r>
          </w:p>
          <w:p w14:paraId="0218CBEA">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三条未取得采集证或者未按照采集证的规定采集国家重点保护野生植物的，由野生植物行政主管部门没收所采集的野生植物和违法所得，可以并处违法所得10倍以下的罚款；有采集证的，并可以吊销采集证。</w:t>
            </w:r>
          </w:p>
        </w:tc>
        <w:tc>
          <w:tcPr>
            <w:tcW w:w="607" w:type="dxa"/>
            <w:noWrap w:val="0"/>
            <w:vAlign w:val="center"/>
          </w:tcPr>
          <w:p w14:paraId="415D8FDC">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对未取得采集证或者未按照采集证的规定采集国家重点保护野生植物行为的处罚</w:t>
            </w:r>
          </w:p>
        </w:tc>
        <w:tc>
          <w:tcPr>
            <w:tcW w:w="1899" w:type="dxa"/>
            <w:noWrap w:val="0"/>
            <w:vAlign w:val="center"/>
          </w:tcPr>
          <w:p w14:paraId="32FBAF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2E52C5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6E120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896EF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4D339D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2DD43E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15BF9D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4D3578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73ED4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3B0D9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63539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1C5F84E">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5F44D5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CFA57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8E176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E8FBB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A4348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9E1FE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40AAC6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7EE33F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5EB1B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5CEE2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F10B1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186DFD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6A539D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424F4A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1C410B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B21DA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6D1E8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9F861A3">
            <w:pPr>
              <w:shd w:val="clear" w:color="auto" w:fill="FFFFFF"/>
              <w:adjustRightInd w:val="0"/>
              <w:snapToGrid w:val="0"/>
              <w:rPr>
                <w:rFonts w:hint="eastAsia" w:ascii="仿宋_GB2312" w:hAnsi="仿宋_GB2312" w:eastAsia="仿宋_GB2312" w:cs="仿宋_GB2312"/>
                <w:color w:val="auto"/>
                <w:sz w:val="18"/>
                <w:szCs w:val="18"/>
                <w:highlight w:val="none"/>
              </w:rPr>
            </w:pPr>
          </w:p>
          <w:p w14:paraId="7CAA65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93D1A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3AE1ED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3CC04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C31CC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0C74E9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7473D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690D83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87BC477">
            <w:pPr>
              <w:shd w:val="clear" w:color="auto" w:fill="FFFFFF"/>
              <w:adjustRightInd w:val="0"/>
              <w:snapToGrid w:val="0"/>
              <w:rPr>
                <w:rFonts w:hint="eastAsia" w:ascii="仿宋_GB2312" w:hAnsi="仿宋_GB2312" w:eastAsia="仿宋_GB2312" w:cs="仿宋_GB2312"/>
                <w:color w:val="auto"/>
                <w:sz w:val="18"/>
                <w:szCs w:val="18"/>
                <w:highlight w:val="none"/>
              </w:rPr>
            </w:pPr>
          </w:p>
          <w:p w14:paraId="75E53B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D31F1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D6929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4DE977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41943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D080D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A5F4D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41FC782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011A44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B3AA5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9B6D7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24F586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4E1D59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433A43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C25A7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3ABA07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3BFE9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946E8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50AB6B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5506B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A2944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68BAB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5238C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77D7E3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7A051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5DF0BB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5FFECA3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FDE7B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055546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E94A8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7F797F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D7209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1B92A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702EE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9BBD6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287D8C7">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DB586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27031F7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0145B7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401E1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DB7A9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1464E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B1F71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CFF29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15DEFED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FB5CA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B94B6E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3EA75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16387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250708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53FF2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BD217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BFF48A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8A656D3">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310E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5E205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82</w:t>
            </w:r>
          </w:p>
        </w:tc>
        <w:tc>
          <w:tcPr>
            <w:tcW w:w="608" w:type="dxa"/>
            <w:noWrap w:val="0"/>
            <w:vAlign w:val="center"/>
          </w:tcPr>
          <w:p w14:paraId="3BBDA408">
            <w:pPr>
              <w:adjustRightInd w:val="0"/>
              <w:snapToGrid w:val="0"/>
              <w:rPr>
                <w:rFonts w:hint="eastAsia" w:ascii="仿宋_GB2312" w:hAnsi="仿宋_GB2312" w:eastAsia="仿宋_GB2312" w:cs="仿宋_GB2312"/>
                <w:color w:val="auto"/>
                <w:sz w:val="18"/>
                <w:szCs w:val="18"/>
                <w:highlight w:val="none"/>
              </w:rPr>
            </w:pPr>
          </w:p>
          <w:p w14:paraId="29D75E71">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对非法出售、收购国家重点保护野生植物行为的处罚</w:t>
            </w:r>
          </w:p>
        </w:tc>
        <w:tc>
          <w:tcPr>
            <w:tcW w:w="607" w:type="dxa"/>
            <w:noWrap w:val="0"/>
            <w:vAlign w:val="center"/>
          </w:tcPr>
          <w:p w14:paraId="58793EC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00A643D">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0222072000</w:t>
            </w:r>
          </w:p>
        </w:tc>
        <w:tc>
          <w:tcPr>
            <w:tcW w:w="1538" w:type="dxa"/>
            <w:noWrap w:val="0"/>
            <w:vAlign w:val="top"/>
          </w:tcPr>
          <w:p w14:paraId="3CFB970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【行政法规】《中华人民共和国野生植物保护条例》（2017年</w:t>
            </w:r>
            <w:r>
              <w:rPr>
                <w:rFonts w:hint="eastAsia" w:ascii="仿宋_GB2312" w:hAnsi="仿宋_GB2312" w:eastAsia="仿宋_GB2312" w:cs="仿宋_GB2312"/>
                <w:color w:val="auto"/>
                <w:sz w:val="18"/>
                <w:szCs w:val="18"/>
                <w:highlight w:val="none"/>
                <w:shd w:val="clear" w:color="auto" w:fill="FFFFFF"/>
              </w:rPr>
              <w:t>国务院令第687号修改</w:t>
            </w:r>
            <w:r>
              <w:rPr>
                <w:rFonts w:hint="eastAsia" w:ascii="仿宋_GB2312" w:hAnsi="仿宋_GB2312" w:eastAsia="仿宋_GB2312" w:cs="仿宋_GB2312"/>
                <w:color w:val="auto"/>
                <w:sz w:val="18"/>
                <w:szCs w:val="18"/>
                <w:highlight w:val="none"/>
              </w:rPr>
              <w:t>）</w:t>
            </w:r>
          </w:p>
          <w:p w14:paraId="507892B1">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第二十四条违反本条例规定，出售、收购国家重点保护野生植物的，由工商行政管理部门或者野生植物行政主管部门按照职责分工没收野生植物和违法所得，可以并处违法所得10倍以下的罚款。</w:t>
            </w:r>
          </w:p>
        </w:tc>
        <w:tc>
          <w:tcPr>
            <w:tcW w:w="607" w:type="dxa"/>
            <w:noWrap w:val="0"/>
            <w:vAlign w:val="center"/>
          </w:tcPr>
          <w:p w14:paraId="3D6E3701">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对非法出售、收购国家重点保护野生植物行为的处罚</w:t>
            </w:r>
          </w:p>
        </w:tc>
        <w:tc>
          <w:tcPr>
            <w:tcW w:w="1899" w:type="dxa"/>
            <w:noWrap w:val="0"/>
            <w:vAlign w:val="center"/>
          </w:tcPr>
          <w:p w14:paraId="627760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664B56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33AD7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72442C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0462BE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C285E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0663DF4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32165B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394AA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40356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4F0686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780632C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2A7A4F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1916BE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20D7A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8604D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9F133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5FCCC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2D16B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06296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04B3E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135D3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5D18D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57561D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045066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ADAF7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EDA39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DB631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9F499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2562985">
            <w:pPr>
              <w:shd w:val="clear" w:color="auto" w:fill="FFFFFF"/>
              <w:adjustRightInd w:val="0"/>
              <w:snapToGrid w:val="0"/>
              <w:rPr>
                <w:rFonts w:hint="eastAsia" w:ascii="仿宋_GB2312" w:hAnsi="仿宋_GB2312" w:eastAsia="仿宋_GB2312" w:cs="仿宋_GB2312"/>
                <w:color w:val="auto"/>
                <w:sz w:val="18"/>
                <w:szCs w:val="18"/>
                <w:highlight w:val="none"/>
              </w:rPr>
            </w:pPr>
          </w:p>
          <w:p w14:paraId="436969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7D1FB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4B96FA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D5B03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1DDC7F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61103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426BF7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A12BD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5747CF4">
            <w:pPr>
              <w:shd w:val="clear" w:color="auto" w:fill="FFFFFF"/>
              <w:adjustRightInd w:val="0"/>
              <w:snapToGrid w:val="0"/>
              <w:rPr>
                <w:rFonts w:hint="eastAsia" w:ascii="仿宋_GB2312" w:hAnsi="仿宋_GB2312" w:eastAsia="仿宋_GB2312" w:cs="仿宋_GB2312"/>
                <w:color w:val="auto"/>
                <w:sz w:val="18"/>
                <w:szCs w:val="18"/>
                <w:highlight w:val="none"/>
              </w:rPr>
            </w:pPr>
          </w:p>
          <w:p w14:paraId="1902C8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90C76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A0040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54270A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62CB99A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783EC7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39FC68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F93457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407FD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985A6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01277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B89F7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63090E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137A47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7C59B5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2BE454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2220A7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8CCACB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DF5EB1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44ACC5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5AC7A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98A25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6D45CB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64F907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7077C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1FFE4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30943811">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58EEE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6083FF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9BCF8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60B52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60C5AE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30C9A7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46A41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7DCE22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2237BB8">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4E9874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F8FE28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6DC54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3BCAA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2DF13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800B7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19200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99BEC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AA7AAD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0906AB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2881E6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5ACEC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EF051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5DAC84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B331A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ABC86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3FD7A9F">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2FD5E7E">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52DF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546BD8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83</w:t>
            </w:r>
          </w:p>
        </w:tc>
        <w:tc>
          <w:tcPr>
            <w:tcW w:w="608" w:type="dxa"/>
            <w:noWrap w:val="0"/>
            <w:vAlign w:val="center"/>
          </w:tcPr>
          <w:p w14:paraId="71075A45">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对外国人在中国境内采集、收购国家重点保护野生植物，或者未经批准对国家重点保护野生植物进行野外考察行为的处罚</w:t>
            </w:r>
          </w:p>
        </w:tc>
        <w:tc>
          <w:tcPr>
            <w:tcW w:w="607" w:type="dxa"/>
            <w:noWrap w:val="0"/>
            <w:vAlign w:val="center"/>
          </w:tcPr>
          <w:p w14:paraId="24E8E47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0133B0B">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0222073000</w:t>
            </w:r>
          </w:p>
        </w:tc>
        <w:tc>
          <w:tcPr>
            <w:tcW w:w="1538" w:type="dxa"/>
            <w:noWrap w:val="0"/>
            <w:vAlign w:val="center"/>
          </w:tcPr>
          <w:p w14:paraId="668374C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行政法规】《中华人民共和国野生植物保护条例》（2017年</w:t>
            </w:r>
            <w:r>
              <w:rPr>
                <w:rFonts w:hint="eastAsia" w:ascii="仿宋_GB2312" w:hAnsi="仿宋_GB2312" w:eastAsia="仿宋_GB2312" w:cs="仿宋_GB2312"/>
                <w:color w:val="auto"/>
                <w:sz w:val="18"/>
                <w:szCs w:val="18"/>
                <w:highlight w:val="none"/>
                <w:shd w:val="clear" w:color="auto" w:fill="FFFFFF"/>
              </w:rPr>
              <w:t>国务院令第687号修改</w:t>
            </w:r>
            <w:r>
              <w:rPr>
                <w:rFonts w:hint="eastAsia" w:ascii="仿宋_GB2312" w:hAnsi="仿宋_GB2312" w:eastAsia="仿宋_GB2312" w:cs="仿宋_GB2312"/>
                <w:color w:val="auto"/>
                <w:sz w:val="18"/>
                <w:szCs w:val="18"/>
                <w:highlight w:val="none"/>
              </w:rPr>
              <w:t>）</w:t>
            </w:r>
          </w:p>
          <w:p w14:paraId="5233B17A">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七条外国人在中国境内采集、收购国家重点保护野生植物，或者未经批准对国家重点保护野生植物进行野外考察的，由野生植物行政主管部门没收所采集、收购的野生植物和考察资料，可以并处5万元以下的罚款。</w:t>
            </w:r>
          </w:p>
        </w:tc>
        <w:tc>
          <w:tcPr>
            <w:tcW w:w="607" w:type="dxa"/>
            <w:noWrap w:val="0"/>
            <w:vAlign w:val="center"/>
          </w:tcPr>
          <w:p w14:paraId="3BDAE169">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对外国人在中国境内采集、收购国家重点保护野生植物，或者未经批准对国家重点保护野生植物进行野外考察行为的处罚</w:t>
            </w:r>
          </w:p>
        </w:tc>
        <w:tc>
          <w:tcPr>
            <w:tcW w:w="1899" w:type="dxa"/>
            <w:noWrap w:val="0"/>
            <w:vAlign w:val="center"/>
          </w:tcPr>
          <w:p w14:paraId="1A5692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AC419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C8958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4574FD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EB501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2AED7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2E74A96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3EFC416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372F43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02B1FA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5A00E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909379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0FDE8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ED13D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1B1FA9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77CCCE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6937C7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3F08A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354D3C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109228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69A87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47409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F07E4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205E0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1D735E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1026F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4FA379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82B5B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04BB0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4FE0F5CC">
            <w:pPr>
              <w:shd w:val="clear" w:color="auto" w:fill="FFFFFF"/>
              <w:adjustRightInd w:val="0"/>
              <w:snapToGrid w:val="0"/>
              <w:rPr>
                <w:rFonts w:hint="eastAsia" w:ascii="仿宋_GB2312" w:hAnsi="仿宋_GB2312" w:eastAsia="仿宋_GB2312" w:cs="仿宋_GB2312"/>
                <w:color w:val="auto"/>
                <w:sz w:val="18"/>
                <w:szCs w:val="18"/>
                <w:highlight w:val="none"/>
              </w:rPr>
            </w:pPr>
          </w:p>
          <w:p w14:paraId="3D1106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3F0908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0CC5F1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21884F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10BAC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C9683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636098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1CB33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D11D7ED">
            <w:pPr>
              <w:shd w:val="clear" w:color="auto" w:fill="FFFFFF"/>
              <w:adjustRightInd w:val="0"/>
              <w:snapToGrid w:val="0"/>
              <w:rPr>
                <w:rFonts w:hint="eastAsia" w:ascii="仿宋_GB2312" w:hAnsi="仿宋_GB2312" w:eastAsia="仿宋_GB2312" w:cs="仿宋_GB2312"/>
                <w:color w:val="auto"/>
                <w:sz w:val="18"/>
                <w:szCs w:val="18"/>
                <w:highlight w:val="none"/>
              </w:rPr>
            </w:pPr>
          </w:p>
          <w:p w14:paraId="4FE7D9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8C57D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6556B9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7F134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ADEDE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349C2D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C163F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A6C4FF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18E9F2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15AC0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249091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97E81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C2004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C5F45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28978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7AF566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64BCC8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9F92D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AB8FA3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9413A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D0FF6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A7344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ECC83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519B5A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F3709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98E90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4902CCF">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ACDBE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3C480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308F24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4540A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0BCC1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69049D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6F2D0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61D2E0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15EC0C71">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BD4E7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72375E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45584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AEAAC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B8D37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2D20B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4C6A6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3D445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4EBB62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61DD84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A1F801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531E5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9790E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C586D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7DC92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6D42E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FF2935B">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F420D96">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6C1A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0BB232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84</w:t>
            </w:r>
          </w:p>
        </w:tc>
        <w:tc>
          <w:tcPr>
            <w:tcW w:w="608" w:type="dxa"/>
            <w:noWrap w:val="0"/>
            <w:vAlign w:val="center"/>
          </w:tcPr>
          <w:p w14:paraId="696D0959">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对伪造、倒卖、转让有关野生植物证件、文件、标签行为的处罚</w:t>
            </w:r>
          </w:p>
        </w:tc>
        <w:tc>
          <w:tcPr>
            <w:tcW w:w="607" w:type="dxa"/>
            <w:noWrap w:val="0"/>
            <w:vAlign w:val="center"/>
          </w:tcPr>
          <w:p w14:paraId="40F82AC3">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FCC6BBE">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0222074000</w:t>
            </w:r>
          </w:p>
        </w:tc>
        <w:tc>
          <w:tcPr>
            <w:tcW w:w="1538" w:type="dxa"/>
            <w:noWrap w:val="0"/>
            <w:vAlign w:val="center"/>
          </w:tcPr>
          <w:p w14:paraId="197A0DAA">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【行政法规】《中华人民共和国野生植物保护条例》（2017年</w:t>
            </w:r>
            <w:r>
              <w:rPr>
                <w:rFonts w:hint="eastAsia" w:ascii="仿宋_GB2312" w:hAnsi="仿宋_GB2312" w:eastAsia="仿宋_GB2312" w:cs="仿宋_GB2312"/>
                <w:color w:val="auto"/>
                <w:sz w:val="18"/>
                <w:szCs w:val="18"/>
                <w:highlight w:val="none"/>
                <w:shd w:val="clear" w:color="auto" w:fill="FFFFFF"/>
              </w:rPr>
              <w:t>国务院令第687号修改</w:t>
            </w:r>
            <w:r>
              <w:rPr>
                <w:rFonts w:hint="eastAsia" w:ascii="仿宋_GB2312" w:hAnsi="仿宋_GB2312" w:eastAsia="仿宋_GB2312" w:cs="仿宋_GB2312"/>
                <w:color w:val="auto"/>
                <w:sz w:val="18"/>
                <w:szCs w:val="18"/>
                <w:highlight w:val="none"/>
              </w:rPr>
              <w:t>）</w:t>
            </w:r>
          </w:p>
          <w:p w14:paraId="3EF832F2">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第二十六条伪造、倒卖、转让采集证、允许进出口证明书或者有关批准文件、标签的，由野生植物行政主管部门或者工商行政管理部门按照职责分工收缴，没收违法所得，可以并处5万元以下的罚款。</w:t>
            </w:r>
          </w:p>
        </w:tc>
        <w:tc>
          <w:tcPr>
            <w:tcW w:w="607" w:type="dxa"/>
            <w:noWrap w:val="0"/>
            <w:vAlign w:val="center"/>
          </w:tcPr>
          <w:p w14:paraId="6650B5CD">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对伪造、倒卖、转让有关野生植物证件、文件、标签行为的处罚</w:t>
            </w:r>
          </w:p>
        </w:tc>
        <w:tc>
          <w:tcPr>
            <w:tcW w:w="1899" w:type="dxa"/>
            <w:noWrap w:val="0"/>
            <w:vAlign w:val="center"/>
          </w:tcPr>
          <w:p w14:paraId="0D5BE5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15315B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2F647F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14C8F8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40D54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07BAAD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50DB533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71A46C4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551CE0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5898D3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E13EC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3DF0E194">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393458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0CF973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CA4C2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59EA22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838BE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EB7DC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11F47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3916F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53C29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CEEB3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1CB680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36BA1B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64D268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5EC6EA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7EB2FC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2B9BAF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7F45E7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78440845">
            <w:pPr>
              <w:shd w:val="clear" w:color="auto" w:fill="FFFFFF"/>
              <w:adjustRightInd w:val="0"/>
              <w:snapToGrid w:val="0"/>
              <w:rPr>
                <w:rFonts w:hint="eastAsia" w:ascii="仿宋_GB2312" w:hAnsi="仿宋_GB2312" w:eastAsia="仿宋_GB2312" w:cs="仿宋_GB2312"/>
                <w:color w:val="auto"/>
                <w:sz w:val="18"/>
                <w:szCs w:val="18"/>
                <w:highlight w:val="none"/>
              </w:rPr>
            </w:pPr>
          </w:p>
          <w:p w14:paraId="157C533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4119EA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8FC75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25901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8E8CA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E46F1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51305CD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74F3D6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43C240F8">
            <w:pPr>
              <w:shd w:val="clear" w:color="auto" w:fill="FFFFFF"/>
              <w:adjustRightInd w:val="0"/>
              <w:snapToGrid w:val="0"/>
              <w:rPr>
                <w:rFonts w:hint="eastAsia" w:ascii="仿宋_GB2312" w:hAnsi="仿宋_GB2312" w:eastAsia="仿宋_GB2312" w:cs="仿宋_GB2312"/>
                <w:color w:val="auto"/>
                <w:sz w:val="18"/>
                <w:szCs w:val="18"/>
                <w:highlight w:val="none"/>
              </w:rPr>
            </w:pPr>
          </w:p>
          <w:p w14:paraId="57D24E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5FE10A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AD43D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758D79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479EA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3B27C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44133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1ED0A2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5AEA4E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DEEAF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3B481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032130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360EE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3CA715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19CFA6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1DFE95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BC29E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3D1CAC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7649E7B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124C7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615DB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646E07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77F5A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38A188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3E326B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37D37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2D947B36">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0CFF2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5A325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80962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3BE1FB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3C6880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1EBBF0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2A0F62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2022D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0C6C1E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CAA97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09E6ACF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5178E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16F02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AE5D2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912F0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67AF1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210EB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243E8D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19E3A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9E04B5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21723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A5174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E1744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7E2663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4C367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6C0DCD6">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F5B95A9">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5373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11383DD4">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85</w:t>
            </w:r>
          </w:p>
        </w:tc>
        <w:tc>
          <w:tcPr>
            <w:tcW w:w="608" w:type="dxa"/>
            <w:noWrap w:val="0"/>
            <w:vAlign w:val="center"/>
          </w:tcPr>
          <w:p w14:paraId="59F2C314">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对伪造、变造、涂改林木、林地权属凭证行为的处罚</w:t>
            </w:r>
          </w:p>
        </w:tc>
        <w:tc>
          <w:tcPr>
            <w:tcW w:w="607" w:type="dxa"/>
            <w:noWrap w:val="0"/>
            <w:vAlign w:val="center"/>
          </w:tcPr>
          <w:p w14:paraId="1771BE1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9B6F3DF">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0222075000</w:t>
            </w:r>
          </w:p>
        </w:tc>
        <w:tc>
          <w:tcPr>
            <w:tcW w:w="1538" w:type="dxa"/>
            <w:noWrap w:val="0"/>
            <w:vAlign w:val="center"/>
          </w:tcPr>
          <w:p w14:paraId="123E20C2">
            <w:pPr>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【部门规章】《林木林地权属争议处理办法》 （1996年林业部令第10号）</w:t>
            </w:r>
          </w:p>
          <w:p w14:paraId="58340378">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第二十四条 伪造、变造、涂改本办法规定的林木、林地权属凭证的，由林权争议处理机构收缴其伪造、变造、涂改的林木、林地权属凭证，并可视情节轻重处以1000元以下罚款。</w:t>
            </w:r>
          </w:p>
        </w:tc>
        <w:tc>
          <w:tcPr>
            <w:tcW w:w="607" w:type="dxa"/>
            <w:noWrap w:val="0"/>
            <w:vAlign w:val="center"/>
          </w:tcPr>
          <w:p w14:paraId="0CBD23FF">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对伪造、变造、涂改林木、林地权属凭证行为的处罚</w:t>
            </w:r>
          </w:p>
        </w:tc>
        <w:tc>
          <w:tcPr>
            <w:tcW w:w="1899" w:type="dxa"/>
            <w:noWrap w:val="0"/>
            <w:vAlign w:val="center"/>
          </w:tcPr>
          <w:p w14:paraId="29F9ED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3B3743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FEC64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2B9B4A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A68EA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60DFB6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78FCF3B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DA28AA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0D995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FDE1E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0D882D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6167E7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CF0F1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7D0199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2B3371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A32DC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3ECAC3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41EF7D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5E52D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3D733E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1CA4A7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6D7DA3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46C0F0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235972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8B0A8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C6EA9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6E6890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05C2C2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375A37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AFB3AF0">
            <w:pPr>
              <w:shd w:val="clear" w:color="auto" w:fill="FFFFFF"/>
              <w:adjustRightInd w:val="0"/>
              <w:snapToGrid w:val="0"/>
              <w:rPr>
                <w:rFonts w:hint="eastAsia" w:ascii="仿宋_GB2312" w:hAnsi="仿宋_GB2312" w:eastAsia="仿宋_GB2312" w:cs="仿宋_GB2312"/>
                <w:color w:val="auto"/>
                <w:sz w:val="18"/>
                <w:szCs w:val="18"/>
                <w:highlight w:val="none"/>
              </w:rPr>
            </w:pPr>
          </w:p>
          <w:p w14:paraId="74A312A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7E0973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F17C6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0C177B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E00D2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136BDB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01E5FF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0DA4014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E6547FF">
            <w:pPr>
              <w:shd w:val="clear" w:color="auto" w:fill="FFFFFF"/>
              <w:adjustRightInd w:val="0"/>
              <w:snapToGrid w:val="0"/>
              <w:rPr>
                <w:rFonts w:hint="eastAsia" w:ascii="仿宋_GB2312" w:hAnsi="仿宋_GB2312" w:eastAsia="仿宋_GB2312" w:cs="仿宋_GB2312"/>
                <w:color w:val="auto"/>
                <w:sz w:val="18"/>
                <w:szCs w:val="18"/>
                <w:highlight w:val="none"/>
              </w:rPr>
            </w:pPr>
          </w:p>
          <w:p w14:paraId="3EF7EA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27E2AC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17337F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FC1EA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208C51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68C1EE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7D47E5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33E5A98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632DC6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A692E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1D4F99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CF897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0CD7DF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7CBDB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48C01E9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401C6A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1F0F35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7FF414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2DEC27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693A73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B24DA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E5E0A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E8268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1472B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724A13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96E08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1D3193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D0CE9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562A4F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C3323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13B16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492122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15FE9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D5939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DCD1C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420B5A3C">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117AD4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3C74810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664D52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6F652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8CD9A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E6514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EFA1D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576D9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D4E51A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88E9A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4B49FC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5D8F6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15AC01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1C8152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29DC6F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80874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508DD1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70C7481">
            <w:pPr>
              <w:shd w:val="clear" w:color="auto" w:fill="FFFFFF"/>
              <w:adjustRightInd w:val="0"/>
              <w:snapToGrid w:val="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tc>
      </w:tr>
      <w:tr w14:paraId="0A66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121F7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86</w:t>
            </w:r>
          </w:p>
        </w:tc>
        <w:tc>
          <w:tcPr>
            <w:tcW w:w="608" w:type="dxa"/>
            <w:noWrap w:val="0"/>
            <w:vAlign w:val="center"/>
          </w:tcPr>
          <w:p w14:paraId="596B7572">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对伪造、涂改、买卖、转让森林植物检疫单证、印章、标志、封识行为的处罚</w:t>
            </w:r>
          </w:p>
        </w:tc>
        <w:tc>
          <w:tcPr>
            <w:tcW w:w="607" w:type="dxa"/>
            <w:noWrap w:val="0"/>
            <w:vAlign w:val="center"/>
          </w:tcPr>
          <w:p w14:paraId="6FBDAEAC">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6503DC1C">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0222076000</w:t>
            </w:r>
          </w:p>
        </w:tc>
        <w:tc>
          <w:tcPr>
            <w:tcW w:w="1538" w:type="dxa"/>
            <w:noWrap w:val="0"/>
            <w:vAlign w:val="center"/>
          </w:tcPr>
          <w:p w14:paraId="77658DA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【行政法规】《植物检疫条例》（2017年国务院令第687号修正）</w:t>
            </w:r>
          </w:p>
          <w:p w14:paraId="4406B4E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八条第二项有下列行为之一的，植物检疫机构应当责令纠正，可以处以罚款；造成损失的，应当负责赔偿；构成犯罪的，由司法机关依法追究刑事责任：（二）伪造、涂改、买卖、转让植物检疫单证、印章、标志、封识的；</w:t>
            </w:r>
          </w:p>
          <w:p w14:paraId="0E072A2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【部门规章】《植物检疫条例实施细则（林业部分）》（2011年国家林业局令第26号修改）</w:t>
            </w:r>
          </w:p>
          <w:p w14:paraId="2075EF5B">
            <w:pPr>
              <w:adjustRightInd w:val="0"/>
              <w:snapToGrid w:val="0"/>
              <w:ind w:firstLine="345" w:firstLineChars="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条第二项有下列行为之一的，森检机构应当责令纠正，可以处以50元至2000元罚款；造成损失的，应当责令赔偿；构成犯罪的，由司法机关依法追究刑事责任：（二）伪造、涂改、买卖、转让植物检疫单证、印章、标志、封识的</w:t>
            </w:r>
          </w:p>
        </w:tc>
        <w:tc>
          <w:tcPr>
            <w:tcW w:w="607" w:type="dxa"/>
            <w:noWrap w:val="0"/>
            <w:vAlign w:val="center"/>
          </w:tcPr>
          <w:p w14:paraId="38A2E5C2">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对伪造、涂改、买卖、转让森林植物检疫单证、印章、标志、封识行为的处罚</w:t>
            </w:r>
          </w:p>
        </w:tc>
        <w:tc>
          <w:tcPr>
            <w:tcW w:w="1899" w:type="dxa"/>
            <w:noWrap w:val="0"/>
            <w:vAlign w:val="center"/>
          </w:tcPr>
          <w:p w14:paraId="2E346F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4A91AA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54B548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2BF47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BAB6F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01C683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43DD628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430D241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4DB25A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740A4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16F161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28868671">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6750D3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5651B8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750C05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35F2BF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7F6722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67E148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7C3C60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6BED62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3B320B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7621A9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2DF82B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0DB4ED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5B13C2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7D1AFD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0150A5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1AC20E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575B49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0333CDE0">
            <w:pPr>
              <w:shd w:val="clear" w:color="auto" w:fill="FFFFFF"/>
              <w:adjustRightInd w:val="0"/>
              <w:snapToGrid w:val="0"/>
              <w:rPr>
                <w:rFonts w:hint="eastAsia" w:ascii="仿宋_GB2312" w:hAnsi="仿宋_GB2312" w:eastAsia="仿宋_GB2312" w:cs="仿宋_GB2312"/>
                <w:color w:val="auto"/>
                <w:sz w:val="18"/>
                <w:szCs w:val="18"/>
                <w:highlight w:val="none"/>
              </w:rPr>
            </w:pPr>
          </w:p>
          <w:p w14:paraId="6B204D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4F43C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2DDB52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16A701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093F3B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41D196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091043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30B3E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6DD8D0A0">
            <w:pPr>
              <w:shd w:val="clear" w:color="auto" w:fill="FFFFFF"/>
              <w:adjustRightInd w:val="0"/>
              <w:snapToGrid w:val="0"/>
              <w:rPr>
                <w:rFonts w:hint="eastAsia" w:ascii="仿宋_GB2312" w:hAnsi="仿宋_GB2312" w:eastAsia="仿宋_GB2312" w:cs="仿宋_GB2312"/>
                <w:color w:val="auto"/>
                <w:sz w:val="18"/>
                <w:szCs w:val="18"/>
                <w:highlight w:val="none"/>
              </w:rPr>
            </w:pPr>
          </w:p>
          <w:p w14:paraId="017DEC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6E5C15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72B202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6A2E27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D5806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026CE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5850C6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61A4F45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30BED3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E189B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42273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57A40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3E5593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E4690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57984E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2FE03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011B8F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41B77F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0D79113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3BB56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727750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19A366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0D8E92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299B5D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2A9FAC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F6E23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A9DCC72">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35F67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400F8D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13C38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4D986D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55F4F2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23E217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03523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60528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2FB354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16F0AE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65A9AD1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4FE032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59C64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A2378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833F3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3914D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636F58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91AF01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4B2F81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6964C1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6732F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419DB9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ACE13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048504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0297D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FBFFA4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1E2D633">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D46AA4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8D9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4768FD85">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87</w:t>
            </w:r>
          </w:p>
        </w:tc>
        <w:tc>
          <w:tcPr>
            <w:tcW w:w="608" w:type="dxa"/>
            <w:noWrap w:val="0"/>
            <w:vAlign w:val="center"/>
          </w:tcPr>
          <w:p w14:paraId="0B7DFBD3">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对伪造林木良种证书行为的处罚</w:t>
            </w:r>
          </w:p>
        </w:tc>
        <w:tc>
          <w:tcPr>
            <w:tcW w:w="607" w:type="dxa"/>
            <w:noWrap w:val="0"/>
            <w:vAlign w:val="center"/>
          </w:tcPr>
          <w:p w14:paraId="2EC6914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0593ECD4">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0222077000</w:t>
            </w:r>
          </w:p>
        </w:tc>
        <w:tc>
          <w:tcPr>
            <w:tcW w:w="1538" w:type="dxa"/>
            <w:noWrap w:val="0"/>
            <w:vAlign w:val="center"/>
          </w:tcPr>
          <w:p w14:paraId="0EA2DEF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【部门规章】《林木良种推广使用管理办法》（2011年国家林业局令第26号修正）</w:t>
            </w:r>
          </w:p>
          <w:p w14:paraId="7C33F346">
            <w:pPr>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第十七条 伪造林木良种证书的，由林业行政主管部门或者其委托林木种子管理机构予以没收，并可处1000元以下的罚款；有违法所得的，可处违法所得3倍以内的罚款，但最多不得超过30000元。</w:t>
            </w:r>
          </w:p>
        </w:tc>
        <w:tc>
          <w:tcPr>
            <w:tcW w:w="607" w:type="dxa"/>
            <w:noWrap w:val="0"/>
            <w:vAlign w:val="center"/>
          </w:tcPr>
          <w:p w14:paraId="539B5B12">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对伪造林木良种证书行为的处罚</w:t>
            </w:r>
          </w:p>
        </w:tc>
        <w:tc>
          <w:tcPr>
            <w:tcW w:w="1899" w:type="dxa"/>
            <w:noWrap w:val="0"/>
            <w:vAlign w:val="center"/>
          </w:tcPr>
          <w:p w14:paraId="42A2A7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74D0AB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09602A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3DF164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133C1D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559B00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1B3AA4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976F8F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064459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3E510E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5373C2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F9F3B95">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74EBB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3B806C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D9713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5B5F63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4DC9C6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25F4CD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1FCF4D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075FF1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7F8E3E2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31F7AB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3AAC52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CD19C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24CE89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6BAD26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BC48CB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347CC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407B69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39F756B7">
            <w:pPr>
              <w:shd w:val="clear" w:color="auto" w:fill="FFFFFF"/>
              <w:adjustRightInd w:val="0"/>
              <w:snapToGrid w:val="0"/>
              <w:rPr>
                <w:rFonts w:hint="eastAsia" w:ascii="仿宋_GB2312" w:hAnsi="仿宋_GB2312" w:eastAsia="仿宋_GB2312" w:cs="仿宋_GB2312"/>
                <w:color w:val="auto"/>
                <w:sz w:val="18"/>
                <w:szCs w:val="18"/>
                <w:highlight w:val="none"/>
              </w:rPr>
            </w:pPr>
          </w:p>
          <w:p w14:paraId="18C42A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1BDEF7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1A7C2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4F8ABA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288A61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6C5948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3A28DE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2915A3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71DDCCA8">
            <w:pPr>
              <w:shd w:val="clear" w:color="auto" w:fill="FFFFFF"/>
              <w:adjustRightInd w:val="0"/>
              <w:snapToGrid w:val="0"/>
              <w:rPr>
                <w:rFonts w:hint="eastAsia" w:ascii="仿宋_GB2312" w:hAnsi="仿宋_GB2312" w:eastAsia="仿宋_GB2312" w:cs="仿宋_GB2312"/>
                <w:color w:val="auto"/>
                <w:sz w:val="18"/>
                <w:szCs w:val="18"/>
                <w:highlight w:val="none"/>
              </w:rPr>
            </w:pPr>
          </w:p>
          <w:p w14:paraId="2D7383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E4B97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38AF3A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104246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19183B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48FDD6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45A099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5FCC41E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38FE25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E03B5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67001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7255A0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7A9FEB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236918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3A77B3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6BB1FB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383D9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AF5B4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52A9F90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30B3EC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FBCC0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473D68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579CE5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428703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66EE57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3EEB26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06C25643">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57788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738661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2B6D6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6A46D1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01D14E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057E1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69FDDD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AE40A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5B6917B9">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95184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88048C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3DB055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05126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3A526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43E86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4D843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A4714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DB8887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7BE0CE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779750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79492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0D6CFD0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4C2A48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7C017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6CBDC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6BBEDD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1947058">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2E7D701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C8A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7A5D43F0">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88</w:t>
            </w:r>
          </w:p>
        </w:tc>
        <w:tc>
          <w:tcPr>
            <w:tcW w:w="608" w:type="dxa"/>
            <w:noWrap w:val="0"/>
            <w:vAlign w:val="center"/>
          </w:tcPr>
          <w:p w14:paraId="6BE34317">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对伪造、倒卖或者转让进出口批准文件或者允许进出口证明书行为的处罚</w:t>
            </w:r>
          </w:p>
        </w:tc>
        <w:tc>
          <w:tcPr>
            <w:tcW w:w="607" w:type="dxa"/>
            <w:noWrap w:val="0"/>
            <w:vAlign w:val="center"/>
          </w:tcPr>
          <w:p w14:paraId="6D7E9A9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3D9A1250">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0222078000</w:t>
            </w:r>
          </w:p>
        </w:tc>
        <w:tc>
          <w:tcPr>
            <w:tcW w:w="1538" w:type="dxa"/>
            <w:noWrap w:val="0"/>
            <w:vAlign w:val="center"/>
          </w:tcPr>
          <w:p w14:paraId="74F3071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【行政法规】《中华人民共和国濒危野生动植物进出口管理条例》（201</w:t>
            </w:r>
            <w:r>
              <w:rPr>
                <w:rFonts w:hint="eastAsia" w:ascii="仿宋_GB2312" w:hAnsi="仿宋_GB2312" w:eastAsia="仿宋_GB2312" w:cs="仿宋_GB2312"/>
                <w:color w:val="auto"/>
                <w:sz w:val="18"/>
                <w:szCs w:val="18"/>
                <w:highlight w:val="none"/>
                <w:lang w:val="en-US" w:eastAsia="zh-CN"/>
              </w:rPr>
              <w:t>9</w:t>
            </w:r>
            <w:r>
              <w:rPr>
                <w:rFonts w:hint="eastAsia" w:ascii="仿宋_GB2312" w:hAnsi="仿宋_GB2312" w:eastAsia="仿宋_GB2312" w:cs="仿宋_GB2312"/>
                <w:color w:val="auto"/>
                <w:sz w:val="18"/>
                <w:szCs w:val="18"/>
                <w:highlight w:val="none"/>
              </w:rPr>
              <w:t>年国务院令第</w:t>
            </w:r>
            <w:r>
              <w:rPr>
                <w:rFonts w:hint="eastAsia" w:ascii="仿宋_GB2312" w:hAnsi="仿宋_GB2312" w:eastAsia="仿宋_GB2312" w:cs="仿宋_GB2312"/>
                <w:color w:val="auto"/>
                <w:sz w:val="18"/>
                <w:szCs w:val="18"/>
                <w:highlight w:val="none"/>
                <w:lang w:val="en-US" w:eastAsia="zh-CN"/>
              </w:rPr>
              <w:t>709</w:t>
            </w:r>
            <w:r>
              <w:rPr>
                <w:rFonts w:hint="eastAsia" w:ascii="仿宋_GB2312" w:hAnsi="仿宋_GB2312" w:eastAsia="仿宋_GB2312" w:cs="仿宋_GB2312"/>
                <w:color w:val="auto"/>
                <w:sz w:val="18"/>
                <w:szCs w:val="18"/>
                <w:highlight w:val="none"/>
              </w:rPr>
              <w:t>号）</w:t>
            </w:r>
          </w:p>
          <w:p w14:paraId="241DC45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第二十七条 伪造、倒卖或者转让进出口批准文件或者允许进出口证明书的，由野生动植物主管部门或者市场监督管理部门按照职责分工依法予以处罚;情节严重，构成犯罪的，依法追究刑事责任。 </w:t>
            </w:r>
          </w:p>
          <w:p w14:paraId="049BB54A">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p>
        </w:tc>
        <w:tc>
          <w:tcPr>
            <w:tcW w:w="607" w:type="dxa"/>
            <w:noWrap w:val="0"/>
            <w:vAlign w:val="center"/>
          </w:tcPr>
          <w:p w14:paraId="2F2AB467">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对伪造、倒卖或者转让进出口批准文件或者允许进出口证明书行为的处罚</w:t>
            </w:r>
          </w:p>
        </w:tc>
        <w:tc>
          <w:tcPr>
            <w:tcW w:w="1899" w:type="dxa"/>
            <w:noWrap w:val="0"/>
            <w:vAlign w:val="center"/>
          </w:tcPr>
          <w:p w14:paraId="1FDC9E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5B8F11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6FD058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5A4059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255AE2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4FB45D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690B774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521BDEE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276BB6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1ABA961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31CB5A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127706B8">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04B52B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4C3F3B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6DEF95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40B2D6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7EC6E3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142151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0366E3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4CBB8B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675619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022763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5FAEA75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4FCAE6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466BA2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3CFA7E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3C5FBF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3ADA4E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2234B3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58444194">
            <w:pPr>
              <w:shd w:val="clear" w:color="auto" w:fill="FFFFFF"/>
              <w:adjustRightInd w:val="0"/>
              <w:snapToGrid w:val="0"/>
              <w:rPr>
                <w:rFonts w:hint="eastAsia" w:ascii="仿宋_GB2312" w:hAnsi="仿宋_GB2312" w:eastAsia="仿宋_GB2312" w:cs="仿宋_GB2312"/>
                <w:color w:val="auto"/>
                <w:sz w:val="18"/>
                <w:szCs w:val="18"/>
                <w:highlight w:val="none"/>
              </w:rPr>
            </w:pPr>
          </w:p>
          <w:p w14:paraId="0CB0C2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0A7996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7710E0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7A5E5F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38FA2D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7C04E2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C4708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1B6C52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3475270A">
            <w:pPr>
              <w:shd w:val="clear" w:color="auto" w:fill="FFFFFF"/>
              <w:adjustRightInd w:val="0"/>
              <w:snapToGrid w:val="0"/>
              <w:rPr>
                <w:rFonts w:hint="eastAsia" w:ascii="仿宋_GB2312" w:hAnsi="仿宋_GB2312" w:eastAsia="仿宋_GB2312" w:cs="仿宋_GB2312"/>
                <w:color w:val="auto"/>
                <w:sz w:val="18"/>
                <w:szCs w:val="18"/>
                <w:highlight w:val="none"/>
              </w:rPr>
            </w:pPr>
          </w:p>
          <w:p w14:paraId="5A9EDC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7B494A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9889D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356C1F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5F53A0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5B4F12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1CFDC8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0A0F559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tc>
        <w:tc>
          <w:tcPr>
            <w:tcW w:w="1026" w:type="dxa"/>
            <w:noWrap w:val="0"/>
            <w:vAlign w:val="center"/>
          </w:tcPr>
          <w:p w14:paraId="3F989F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16FF1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488AC93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4F7BC8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2685D7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A50D8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5EEA9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53EFEC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3277C0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108A9B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2E885F7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2FCA10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352EAB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32A090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213DBF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1EA5E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47CA52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752531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3815C65E">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3DD60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C2183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4B43E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0BC6AD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5DFF2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784DA8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5A38CC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5CFEB4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D7928F5">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03C41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427EB15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7AA404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5FC51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23E72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5A29B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77BED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44DC8C4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B2855C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174B5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6030D1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E9355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7CBB8B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3E5574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38E85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FCFC9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E417EC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2807D2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02CC88A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0A3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noWrap w:val="0"/>
            <w:vAlign w:val="center"/>
          </w:tcPr>
          <w:p w14:paraId="371067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89</w:t>
            </w:r>
          </w:p>
        </w:tc>
        <w:tc>
          <w:tcPr>
            <w:tcW w:w="608" w:type="dxa"/>
            <w:noWrap w:val="0"/>
            <w:vAlign w:val="center"/>
          </w:tcPr>
          <w:p w14:paraId="1E450E05">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对破坏、擅自移动禁牧标志、围栏设施行为的处罚</w:t>
            </w:r>
          </w:p>
        </w:tc>
        <w:tc>
          <w:tcPr>
            <w:tcW w:w="607" w:type="dxa"/>
            <w:noWrap w:val="0"/>
            <w:vAlign w:val="center"/>
          </w:tcPr>
          <w:p w14:paraId="5687D92E">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27" w:type="dxa"/>
            <w:noWrap w:val="0"/>
            <w:vAlign w:val="center"/>
          </w:tcPr>
          <w:p w14:paraId="2AF36FF0">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0222080000</w:t>
            </w:r>
          </w:p>
        </w:tc>
        <w:tc>
          <w:tcPr>
            <w:tcW w:w="1538" w:type="dxa"/>
            <w:noWrap w:val="0"/>
            <w:vAlign w:val="center"/>
          </w:tcPr>
          <w:p w14:paraId="0C1810A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【地方性法规】《宁夏回族自治区禁牧封育条例》（2011年）</w:t>
            </w:r>
          </w:p>
          <w:p w14:paraId="610FAC3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第九条　在禁牧区域内禁止下列活动：（二）破坏、盗窃、擅自移动禁牧的标志、围栏设施；</w:t>
            </w:r>
          </w:p>
          <w:p w14:paraId="7E103AE9">
            <w:pPr>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第二十三条　违反本条例第九条第二项规定，破坏、擅自移动禁牧标志、围栏设施的，由县级以上人民政府农牧、林业主管部门或者乡（镇）人民政府责令限期恢复原状，并处一百元以上二千元以下的罚款；逾期不恢复的，由农牧、林业主管部门按照各自职责代为恢复，所需费用由违法者承担。</w:t>
            </w:r>
          </w:p>
        </w:tc>
        <w:tc>
          <w:tcPr>
            <w:tcW w:w="607" w:type="dxa"/>
            <w:noWrap w:val="0"/>
            <w:vAlign w:val="center"/>
          </w:tcPr>
          <w:p w14:paraId="3F2A6D1E">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对破坏、擅自移动禁牧标志、围栏设施行为的处罚</w:t>
            </w:r>
          </w:p>
        </w:tc>
        <w:tc>
          <w:tcPr>
            <w:tcW w:w="1899" w:type="dxa"/>
            <w:noWrap w:val="0"/>
            <w:vAlign w:val="center"/>
          </w:tcPr>
          <w:p w14:paraId="6BEFB8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1.立案责任：对涉嫌违法的行为，予以审查，决定是否立案。</w:t>
            </w:r>
          </w:p>
          <w:p w14:paraId="22B6BA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2.调查责任：对立案的案件，指定专人负责，及时组织调查取证，与当事人有直接利害关系的应当回避。执法人员不得少于两人，调查时应出示执法证件，允许当事人辩解陈述。执法人员应保守有关秘密。</w:t>
            </w:r>
          </w:p>
          <w:p w14:paraId="7D9248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3.审查责任：审理案件调查报告，对案件违法事实、证据、调查取证程序、法律适用、处罚种类和幅度、当事人陈述和申辩理由等方面进行审查，提出处理意见（主要证据不足时，以适当的方式补充调查）。</w:t>
            </w:r>
          </w:p>
          <w:p w14:paraId="0792B7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4.告知责任：作出行政处罚决定前，应制作《行政处罚告知书》送达当事人，告知违法事实及其享有的陈述、申辩等权利。符合听证规定的，制作并送达《行政处罚听证告知书》。</w:t>
            </w:r>
          </w:p>
          <w:p w14:paraId="3769C7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5.决定责任：依法予以处罚的，制作行政处罚决定书，载明违法事实和证据、处罚依据和内容、申请行政复议或提起行政诉讼的途径和期限等内容。</w:t>
            </w:r>
          </w:p>
          <w:p w14:paraId="369E80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6.送达责任：行政处罚决定书按法律规定的方式送达当事人。</w:t>
            </w:r>
          </w:p>
          <w:p w14:paraId="5299001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7.执行责任：依照生效的行政处罚决定，依法予以执行。</w:t>
            </w:r>
          </w:p>
          <w:p w14:paraId="01CB4D9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8.其他法律法规规章文件规定应履行的责任。</w:t>
            </w:r>
          </w:p>
        </w:tc>
        <w:tc>
          <w:tcPr>
            <w:tcW w:w="2430" w:type="dxa"/>
            <w:noWrap w:val="0"/>
            <w:vAlign w:val="center"/>
          </w:tcPr>
          <w:p w14:paraId="1FD40B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第二十三条　行政处罚由县级以上地方人民政府具有行政处罚权的行政机关管辖。法律、行政法规另有规定的，从其规定。</w:t>
            </w:r>
          </w:p>
          <w:p w14:paraId="69AA04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2-1.</w:t>
            </w:r>
            <w:r>
              <w:rPr>
                <w:rFonts w:hint="eastAsia" w:ascii="仿宋_GB2312" w:hAnsi="仿宋_GB2312" w:eastAsia="仿宋_GB2312" w:cs="仿宋_GB2312"/>
                <w:color w:val="auto"/>
                <w:sz w:val="18"/>
                <w:szCs w:val="18"/>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582B0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符合立案标准的，行政机关应当及时立案。</w:t>
            </w:r>
          </w:p>
          <w:p w14:paraId="0F51E0A3">
            <w:pPr>
              <w:shd w:val="clear" w:color="auto" w:fill="FFFFFF"/>
              <w:adjustRightInd w:val="0"/>
              <w:snapToGrid w:val="0"/>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rPr>
              <w:t>2-2.</w:t>
            </w:r>
            <w:r>
              <w:rPr>
                <w:rFonts w:hint="eastAsia" w:ascii="仿宋_GB2312" w:hAnsi="仿宋_GB2312" w:eastAsia="仿宋_GB2312" w:cs="仿宋_GB2312"/>
                <w:color w:val="auto"/>
                <w:sz w:val="18"/>
                <w:szCs w:val="18"/>
                <w:highlight w:val="none"/>
                <w:lang w:val="en-US" w:eastAsia="zh-CN"/>
              </w:rPr>
              <w:t>第四十二条　行政处罚应当由具有行政执法资格的执法人员实施。执法人员不得少于两人，法律另有规定的除外。执法人员应当文明执法，尊重和保护当事人合法权益。　　</w:t>
            </w:r>
          </w:p>
          <w:p w14:paraId="1B170C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w:t>
            </w:r>
          </w:p>
          <w:p w14:paraId="6B9BD9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第五十七条　调查终结，行政机关负责人应当对调查结果进行审查，根据不同情况，分别作出如下决定：</w:t>
            </w:r>
          </w:p>
          <w:p w14:paraId="4204333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（一）确有应受行政处罚的违法行为的，根据情节轻重及具体情况，作出行政处罚决定；</w:t>
            </w:r>
          </w:p>
          <w:p w14:paraId="6FF385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（二）违法行为轻微，依法可以不予行政处罚的，不予行政处罚；</w:t>
            </w:r>
          </w:p>
          <w:p w14:paraId="22ED11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（三）违法事实不能成立的，不予行政处罚；</w:t>
            </w:r>
          </w:p>
          <w:p w14:paraId="5A9E2D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（四）违法行为涉嫌犯罪的，移送司法机关。</w:t>
            </w:r>
          </w:p>
          <w:p w14:paraId="23506D3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对情节复杂或者重大违法行为给予行政处罚，行政机关负责人应当集体讨论决定。</w:t>
            </w:r>
          </w:p>
          <w:p w14:paraId="2D2224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第四十四条　行政机关在作出行政处罚决定之前，应当告知当事人拟作出的行政处罚内容及事实、理由、依据，并告知当事人依法享有的陈述、申辩、要求听证等权利。</w:t>
            </w:r>
          </w:p>
          <w:p w14:paraId="416901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第四十五条　当事人有权进行陈述和申辩。行政机关必须充分听取当事人的意见，对当事人提出的事实、理由和证据，应当进行复核；当事人提出的事实、理由或者证据成立的，行政机关应当采纳。</w:t>
            </w:r>
          </w:p>
          <w:p w14:paraId="1EB594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4-3.</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第六十三条　行政机关拟作出下列行政处罚决定，应当告知当事人有要求听证的权利，当事人要求听证的，行政机关应当组织听证：</w:t>
            </w:r>
          </w:p>
          <w:p w14:paraId="7AAE2B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（一）较大数额罚款；</w:t>
            </w:r>
          </w:p>
          <w:p w14:paraId="7F4E70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（二）没收较大数额违法所得、没收较大价值非法财物；</w:t>
            </w:r>
          </w:p>
          <w:p w14:paraId="7FF8C6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（三）降低资质等级、吊销许可证件；</w:t>
            </w:r>
          </w:p>
          <w:p w14:paraId="193509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（四）责令停产停业、责令关闭、限制从业；</w:t>
            </w:r>
          </w:p>
          <w:p w14:paraId="2EA585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（五）其他较重的行政处罚；</w:t>
            </w:r>
          </w:p>
          <w:p w14:paraId="5607D5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（六）法律、法规、规章规定的其他情形。</w:t>
            </w:r>
          </w:p>
          <w:p w14:paraId="093094E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当事人不承担行政机关组织听证的费用。</w:t>
            </w:r>
          </w:p>
          <w:p w14:paraId="60E440F9">
            <w:pPr>
              <w:shd w:val="clear" w:color="auto" w:fill="FFFFFF"/>
              <w:adjustRightInd w:val="0"/>
              <w:snapToGrid w:val="0"/>
              <w:rPr>
                <w:rFonts w:hint="eastAsia" w:ascii="仿宋_GB2312" w:hAnsi="仿宋_GB2312" w:eastAsia="仿宋_GB2312" w:cs="仿宋_GB2312"/>
                <w:color w:val="auto"/>
                <w:sz w:val="18"/>
                <w:szCs w:val="18"/>
                <w:highlight w:val="none"/>
              </w:rPr>
            </w:pPr>
          </w:p>
          <w:p w14:paraId="40C33CC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color w:val="auto"/>
                <w:sz w:val="18"/>
                <w:szCs w:val="18"/>
                <w:highlight w:val="none"/>
                <w:lang w:eastAsia="zh-CN"/>
              </w:rPr>
              <w:t>《中华人民共和国行政处罚法》《中华人民共和国行政处罚法》</w:t>
            </w:r>
            <w:r>
              <w:rPr>
                <w:rFonts w:hint="eastAsia" w:ascii="仿宋_GB2312" w:hAnsi="仿宋_GB2312" w:eastAsia="仿宋_GB2312" w:cs="仿宋_GB2312"/>
                <w:color w:val="auto"/>
                <w:sz w:val="18"/>
                <w:szCs w:val="18"/>
                <w:highlight w:val="none"/>
              </w:rPr>
              <w:t>第五十九条　行政机关依照本法第五十七条的规定给予行政处罚，应当制作行政处罚决定书。行政处罚决定书应当载明下列事项：</w:t>
            </w:r>
          </w:p>
          <w:p w14:paraId="2C8ED4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（一）当事人的姓名或者名称、地址；</w:t>
            </w:r>
          </w:p>
          <w:p w14:paraId="6A147C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（二）违反法律、法规、规章的事实和证据；</w:t>
            </w:r>
          </w:p>
          <w:p w14:paraId="3AAB96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（三）行政处罚的种类和依据；</w:t>
            </w:r>
          </w:p>
          <w:p w14:paraId="731CDE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（四）行政处罚的履行方式和期限；</w:t>
            </w:r>
          </w:p>
          <w:p w14:paraId="24EFC6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（五）申请行政复议、提起行政诉讼的途径和期限；</w:t>
            </w:r>
          </w:p>
          <w:p w14:paraId="13DF23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（六）作出行政处罚决定的行政机关名称和作出决定的日期。</w:t>
            </w:r>
          </w:p>
          <w:p w14:paraId="41F6D9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行政处罚决定书必须盖有作出行政处罚决定的行政机关的印章。</w:t>
            </w:r>
          </w:p>
          <w:p w14:paraId="564E13A2">
            <w:pPr>
              <w:shd w:val="clear" w:color="auto" w:fill="FFFFFF"/>
              <w:adjustRightInd w:val="0"/>
              <w:snapToGrid w:val="0"/>
              <w:rPr>
                <w:rFonts w:hint="eastAsia" w:ascii="仿宋_GB2312" w:hAnsi="仿宋_GB2312" w:eastAsia="仿宋_GB2312" w:cs="仿宋_GB2312"/>
                <w:color w:val="auto"/>
                <w:sz w:val="18"/>
                <w:szCs w:val="18"/>
                <w:highlight w:val="none"/>
              </w:rPr>
            </w:pPr>
          </w:p>
          <w:p w14:paraId="5BC6D6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第六十一条　行政处罚决定书应当在宣告后当场交付当事人；当事人不在场的，行政机关应当在七日内依照《中华人民共和国民事诉讼法》的有关规定，将行政处罚决定书送达当事人。</w:t>
            </w:r>
          </w:p>
          <w:p w14:paraId="461723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第六十六条　行政处罚决定依法作出后，当事人应当在行政处罚决定书载明的期限内，予以履行。</w:t>
            </w:r>
          </w:p>
          <w:p w14:paraId="4EA5F8B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7-2.</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第七十二条　当事人逾期不履行行政处罚决定的，作出行政处罚决定的行政机关可以采取下列措施：</w:t>
            </w:r>
          </w:p>
          <w:p w14:paraId="2ADB5A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（一）到期不缴纳罚款的，每日按罚款数额的百分之三加处罚款，加处罚款的数额不得超出罚款的数额；</w:t>
            </w:r>
          </w:p>
          <w:p w14:paraId="4359EB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（二）根据法律规定，将查封、扣押的财物拍卖、依法处理或者将冻结的存款、汇款划拨抵缴罚款；</w:t>
            </w:r>
          </w:p>
          <w:p w14:paraId="169DFD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（三）根据法律规定，采取其他行政强制执行方式；</w:t>
            </w:r>
          </w:p>
          <w:p w14:paraId="249A61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（四）依照《中华人民共和国行政强制法》的规定申请人民法院强制执行。</w:t>
            </w:r>
          </w:p>
          <w:p w14:paraId="2DCBD6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行政机关批准延期、分期缴纳罚款的，申请人民法院强制执行的期限，自暂缓或者分期缴纳罚款期限结束之日起计算。</w:t>
            </w:r>
          </w:p>
          <w:p w14:paraId="35B78AD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026" w:type="dxa"/>
            <w:noWrap w:val="0"/>
            <w:vAlign w:val="center"/>
          </w:tcPr>
          <w:p w14:paraId="61F3AC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54A64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1.没有法律和事实依据实施行政处罚的；</w:t>
            </w:r>
          </w:p>
          <w:p w14:paraId="787204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2.执法人员玩忽职守，对应当予以制止或处罚的违法行为不予制止、处罚的；</w:t>
            </w:r>
          </w:p>
          <w:p w14:paraId="6B081D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3.不具备行政执法资格实施行政处罚的；</w:t>
            </w:r>
          </w:p>
          <w:p w14:paraId="5A518F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4.应当依法移送追究刑事责任，而未依法移送有权机关的；</w:t>
            </w:r>
          </w:p>
          <w:p w14:paraId="7406E5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5.未按裁量权规定，滥用裁量权的；行政处罚显失公正的；</w:t>
            </w:r>
          </w:p>
          <w:p w14:paraId="6A3AD7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6.违反法定的行政处罚程序的；</w:t>
            </w:r>
          </w:p>
          <w:p w14:paraId="5F4CF1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7.符合听证条件、行政管理相对人要求听证，应予组织听证而不组织听证；</w:t>
            </w:r>
          </w:p>
          <w:p w14:paraId="7FE4BA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8.在行政处罚过程中发生腐败行为的；</w:t>
            </w:r>
          </w:p>
          <w:p w14:paraId="226244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9.侵害公民、法人或者其他组织合法权益造成损失并依法承担行政赔偿责任的；</w:t>
            </w:r>
          </w:p>
          <w:p w14:paraId="4F9486E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10.其他违反法律法规规章文件规定的行为。</w:t>
            </w:r>
          </w:p>
        </w:tc>
        <w:tc>
          <w:tcPr>
            <w:tcW w:w="2506" w:type="dxa"/>
            <w:noWrap w:val="0"/>
            <w:vAlign w:val="top"/>
          </w:tcPr>
          <w:p w14:paraId="5C0955B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1782CC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（一）没有法定的行政处罚依据的；</w:t>
            </w:r>
          </w:p>
          <w:p w14:paraId="068F89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（二）擅自改变行政处罚种类、幅度的；</w:t>
            </w:r>
          </w:p>
          <w:p w14:paraId="77CA72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（三）违反法定的行政处罚程序的；</w:t>
            </w:r>
          </w:p>
          <w:p w14:paraId="1F128E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（四）违反本法第二十条关于委托处罚的规定的；</w:t>
            </w:r>
          </w:p>
          <w:p w14:paraId="0CB812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（五）执法人员未取得执法证件的。</w:t>
            </w:r>
          </w:p>
          <w:p w14:paraId="14AEC1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行政机关对符合立案标准的案件不及时立案的，依照前款规定予以处理。</w:t>
            </w:r>
          </w:p>
          <w:p w14:paraId="1C3C711D">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lang w:eastAsia="zh-CN"/>
              </w:rPr>
              <w:t>2.《中华人民共和国行政处罚法》第八十二条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01A5D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3.《宁夏回族自治区行政程序规定》第一百一十三条“行政机关及其工作人员违反本规定，有下列情形之一的，依照国家和自治区有关规定追究责任：（一）不具有行政执法主体资格实施行政执法行为的；”</w:t>
            </w:r>
          </w:p>
          <w:p w14:paraId="20776A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D7574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5-1.《宁夏回族自治区行政程序规定》第一百一十三条“行政机关及其工作人员违反本规定，有下列情形之一的，依照国家和自治区有关规定追究责任：…（六）不按照行政裁量权基准进行裁量的；……”</w:t>
            </w:r>
          </w:p>
          <w:p w14:paraId="2345BF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5-2.《宁夏回族自治区行政执法监督条例》</w:t>
            </w:r>
          </w:p>
          <w:p w14:paraId="7F7195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应当加强行政执法主体具体行政行为的监督，有下列情形之一的，依法予以纠正。（四）显失公正、明显不当的；”</w:t>
            </w:r>
          </w:p>
          <w:p w14:paraId="0D4C28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color w:val="auto"/>
                <w:sz w:val="18"/>
                <w:szCs w:val="18"/>
                <w:highlight w:val="none"/>
                <w:lang w:eastAsia="zh-CN"/>
              </w:rPr>
              <w:t>《中华人民共和国行政处罚法》</w:t>
            </w:r>
            <w:r>
              <w:rPr>
                <w:rFonts w:hint="eastAsia" w:ascii="仿宋_GB2312" w:hAnsi="仿宋_GB2312" w:eastAsia="仿宋_GB2312" w:cs="仿宋_GB2312"/>
                <w:color w:val="auto"/>
                <w:sz w:val="18"/>
                <w:szCs w:val="18"/>
                <w:highlight w:val="none"/>
              </w:rPr>
              <w:t>第七十六条　行政机关实施行政处罚，有下列情形之一，由上级行政机关或者有关机关责令改正，对直接负责的主管人员和其他直接责任人员依法给予处分：</w:t>
            </w:r>
          </w:p>
          <w:p w14:paraId="496843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（三）违反法定的行政处罚程序的。”</w:t>
            </w:r>
          </w:p>
          <w:p w14:paraId="3A994B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7378D4CB">
            <w:pPr>
              <w:shd w:val="clear" w:color="auto" w:fill="FFFFFF"/>
              <w:adjustRightInd w:val="0"/>
              <w:snapToGrid w:val="0"/>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8.</w:t>
            </w:r>
            <w:r>
              <w:rPr>
                <w:rFonts w:hint="eastAsia" w:ascii="仿宋_GB2312" w:hAnsi="仿宋_GB2312" w:eastAsia="仿宋_GB2312" w:cs="仿宋_GB2312"/>
                <w:color w:val="auto"/>
                <w:sz w:val="18"/>
                <w:szCs w:val="18"/>
                <w:highlight w:val="none"/>
                <w:lang w:eastAsia="zh-CN"/>
              </w:rPr>
              <w:t>《中华人民共和国行政处罚法》第七十九条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3A8E7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执法人员利用职务上的便利，索取或者收受他人财物、将收缴罚款据为己有，构成犯罪的，依法追究刑事责任；情节轻微不构成犯罪的，依法给予处分。</w:t>
            </w:r>
          </w:p>
          <w:p w14:paraId="1390C00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1063" w:type="dxa"/>
            <w:noWrap w:val="0"/>
            <w:vAlign w:val="center"/>
          </w:tcPr>
          <w:p w14:paraId="58DFF2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47736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923BB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3C42E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A930A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5CC46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17C02A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612" w:type="dxa"/>
            <w:noWrap w:val="0"/>
            <w:vAlign w:val="top"/>
          </w:tcPr>
          <w:p w14:paraId="37AB3F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EA63FB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01C7E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五条“追究行政责任的方式为：（一）诫勉谈话；（二）责令作出书面检查；（三）责令公开道歉；（四）通报批评；（五）调离工作岗位；（六）暂停职务；（七）建议免职；（八）责令辞职。”</w:t>
            </w:r>
          </w:p>
          <w:p w14:paraId="2B9FBD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3-1.《宁夏回族自治区行政程序规定》第一百一十五条“（一）对行政机关的责任追究方式为：责令限期整改、通报批评、取消评比先进的资格等；</w:t>
            </w:r>
          </w:p>
          <w:p w14:paraId="65816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3-2.《宁夏回族自治区行政责任追究办法》第三十三条“行政机关及其工作人员被追究行政责任的，一年内取消其各种评优评先的资格。”</w:t>
            </w:r>
          </w:p>
          <w:p w14:paraId="1EBDA4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52051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A9F0AC4">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A20B1B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rPr>
            </w:pPr>
            <w:r>
              <w:rPr>
                <w:rFonts w:hint="eastAsia" w:ascii="仿宋_GB2312" w:hAnsi="仿宋_GB2312" w:eastAsia="仿宋_GB2312" w:cs="仿宋_GB2312"/>
                <w:color w:val="auto"/>
                <w:sz w:val="18"/>
                <w:szCs w:val="18"/>
                <w:highlight w:val="none"/>
              </w:rPr>
              <w:t>7.《宁夏回族自治区行政程序规定》第一百一十三条“行政机关及其工作人员违反本规定，有下列情形之一的，依照国家和自治区有关规定追究责任：（四）不履行或者拖延履行法定职责的；……”</w:t>
            </w:r>
          </w:p>
          <w:p w14:paraId="6EDE9B7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bl>
    <w:p w14:paraId="2B37896D">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三、行政强制（10项）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12"/>
        <w:gridCol w:w="615"/>
        <w:gridCol w:w="630"/>
        <w:gridCol w:w="1425"/>
        <w:gridCol w:w="675"/>
        <w:gridCol w:w="1500"/>
        <w:gridCol w:w="2175"/>
        <w:gridCol w:w="1245"/>
        <w:gridCol w:w="2730"/>
        <w:gridCol w:w="1200"/>
        <w:gridCol w:w="2702"/>
      </w:tblGrid>
      <w:tr w14:paraId="4AF3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6C0EBA4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序号</w:t>
            </w:r>
          </w:p>
        </w:tc>
        <w:tc>
          <w:tcPr>
            <w:tcW w:w="612" w:type="dxa"/>
            <w:noWrap w:val="0"/>
            <w:vAlign w:val="center"/>
          </w:tcPr>
          <w:p w14:paraId="46A354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w:t>
            </w:r>
          </w:p>
          <w:p w14:paraId="38E16BC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auto"/>
                <w:highlight w:val="none"/>
              </w:rPr>
            </w:pPr>
            <w:r>
              <w:rPr>
                <w:rFonts w:hint="eastAsia" w:ascii="仿宋_GB2312" w:hAnsi="仿宋_GB2312" w:eastAsia="仿宋_GB2312" w:cs="仿宋_GB2312"/>
                <w:color w:val="auto"/>
                <w:sz w:val="18"/>
                <w:szCs w:val="18"/>
                <w:highlight w:val="none"/>
                <w:vertAlign w:val="baseline"/>
                <w:lang w:val="en-US" w:eastAsia="zh-CN"/>
              </w:rPr>
              <w:t>名称</w:t>
            </w:r>
          </w:p>
        </w:tc>
        <w:tc>
          <w:tcPr>
            <w:tcW w:w="615" w:type="dxa"/>
            <w:noWrap w:val="0"/>
            <w:vAlign w:val="center"/>
          </w:tcPr>
          <w:p w14:paraId="07A9E7C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子项</w:t>
            </w:r>
          </w:p>
          <w:p w14:paraId="39C0C1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名称</w:t>
            </w:r>
          </w:p>
        </w:tc>
        <w:tc>
          <w:tcPr>
            <w:tcW w:w="630" w:type="dxa"/>
            <w:noWrap w:val="0"/>
            <w:vAlign w:val="center"/>
          </w:tcPr>
          <w:p w14:paraId="519EAD7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基本编码</w:t>
            </w:r>
          </w:p>
        </w:tc>
        <w:tc>
          <w:tcPr>
            <w:tcW w:w="1425" w:type="dxa"/>
            <w:noWrap w:val="0"/>
            <w:vAlign w:val="center"/>
          </w:tcPr>
          <w:p w14:paraId="772399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职权依据</w:t>
            </w:r>
          </w:p>
        </w:tc>
        <w:tc>
          <w:tcPr>
            <w:tcW w:w="675" w:type="dxa"/>
            <w:noWrap w:val="0"/>
            <w:vAlign w:val="center"/>
          </w:tcPr>
          <w:p w14:paraId="196332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行使内容</w:t>
            </w:r>
          </w:p>
        </w:tc>
        <w:tc>
          <w:tcPr>
            <w:tcW w:w="1500" w:type="dxa"/>
            <w:noWrap w:val="0"/>
            <w:vAlign w:val="center"/>
          </w:tcPr>
          <w:p w14:paraId="4ACC477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阶段事项</w:t>
            </w:r>
          </w:p>
        </w:tc>
        <w:tc>
          <w:tcPr>
            <w:tcW w:w="2175" w:type="dxa"/>
            <w:noWrap w:val="0"/>
            <w:vAlign w:val="center"/>
          </w:tcPr>
          <w:p w14:paraId="0DFAC4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责任事项依据</w:t>
            </w:r>
          </w:p>
        </w:tc>
        <w:tc>
          <w:tcPr>
            <w:tcW w:w="1245" w:type="dxa"/>
            <w:noWrap w:val="0"/>
            <w:vAlign w:val="center"/>
          </w:tcPr>
          <w:p w14:paraId="53D840C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w:t>
            </w:r>
          </w:p>
        </w:tc>
        <w:tc>
          <w:tcPr>
            <w:tcW w:w="2730" w:type="dxa"/>
            <w:noWrap w:val="0"/>
            <w:vAlign w:val="center"/>
          </w:tcPr>
          <w:p w14:paraId="27E634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追责情形依据</w:t>
            </w:r>
          </w:p>
        </w:tc>
        <w:tc>
          <w:tcPr>
            <w:tcW w:w="1200" w:type="dxa"/>
            <w:noWrap w:val="0"/>
            <w:vAlign w:val="center"/>
          </w:tcPr>
          <w:p w14:paraId="3166F66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w:t>
            </w:r>
          </w:p>
        </w:tc>
        <w:tc>
          <w:tcPr>
            <w:tcW w:w="2702" w:type="dxa"/>
            <w:noWrap w:val="0"/>
            <w:vAlign w:val="center"/>
          </w:tcPr>
          <w:p w14:paraId="6B46D9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担责方式依据</w:t>
            </w:r>
          </w:p>
        </w:tc>
      </w:tr>
      <w:tr w14:paraId="1522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dxa"/>
            <w:noWrap w:val="0"/>
            <w:vAlign w:val="center"/>
          </w:tcPr>
          <w:p w14:paraId="27922A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w:t>
            </w:r>
          </w:p>
        </w:tc>
        <w:tc>
          <w:tcPr>
            <w:tcW w:w="612" w:type="dxa"/>
            <w:noWrap w:val="0"/>
            <w:vAlign w:val="center"/>
          </w:tcPr>
          <w:p w14:paraId="6432C610">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对占用期届满的临时占用草原的草原植被代为恢复</w:t>
            </w:r>
          </w:p>
        </w:tc>
        <w:tc>
          <w:tcPr>
            <w:tcW w:w="615" w:type="dxa"/>
            <w:noWrap w:val="0"/>
            <w:vAlign w:val="center"/>
          </w:tcPr>
          <w:p w14:paraId="52514EB3">
            <w:pPr>
              <w:jc w:val="both"/>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无</w:t>
            </w:r>
          </w:p>
        </w:tc>
        <w:tc>
          <w:tcPr>
            <w:tcW w:w="630" w:type="dxa"/>
            <w:noWrap w:val="0"/>
            <w:vAlign w:val="center"/>
          </w:tcPr>
          <w:p w14:paraId="415F433A">
            <w:pPr>
              <w:snapToGrid w:val="0"/>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0317006000</w:t>
            </w:r>
          </w:p>
        </w:tc>
        <w:tc>
          <w:tcPr>
            <w:tcW w:w="1425" w:type="dxa"/>
            <w:noWrap w:val="0"/>
            <w:vAlign w:val="center"/>
          </w:tcPr>
          <w:p w14:paraId="63316D03">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【法律】《中华人民共和国草原法》（2013年修正）</w:t>
            </w:r>
          </w:p>
          <w:p w14:paraId="699709EF">
            <w:pPr>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第七十一条第二款 临时占用草原，占用期届满，用地单位不予恢复草原植被的，由县级以上地方人民政府草原行政主管部门依据职权责令限期恢复；逾期不恢复的，由县级以上地方人民政府草原行政主管部门代为恢复，所需费用由违法者承担。</w:t>
            </w:r>
          </w:p>
        </w:tc>
        <w:tc>
          <w:tcPr>
            <w:tcW w:w="675" w:type="dxa"/>
            <w:noWrap w:val="0"/>
            <w:vAlign w:val="center"/>
          </w:tcPr>
          <w:p w14:paraId="00D8189E">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对占用期届满的临时占用草原的草原植被代为恢复</w:t>
            </w:r>
          </w:p>
        </w:tc>
        <w:tc>
          <w:tcPr>
            <w:tcW w:w="1500" w:type="dxa"/>
            <w:noWrap w:val="0"/>
            <w:vAlign w:val="center"/>
          </w:tcPr>
          <w:p w14:paraId="2C1579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0B7337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4253D3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734C4D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20FC965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128108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24D82E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0EFB95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6AB86763">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5647FC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4FB5816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45AE57EF">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156967F">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06C33E1B">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61493ED6">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0F83F6DC">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35E09826">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06F016AE">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3257B599">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574BE86B">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25CFFCCC">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0566DA46">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27D9B1BB">
            <w:pPr>
              <w:pStyle w:val="15"/>
              <w:adjustRightInd w:val="0"/>
              <w:snapToGrid w:val="0"/>
              <w:spacing w:before="0" w:beforeLines="0" w:beforeAutospacing="0" w:after="0" w:afterLines="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776FE5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1217C3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7ED572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0FC44A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684291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67F226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415455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1242DC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5DCF5A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5262DA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059122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18F5764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042A0B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93F37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7D5F4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008BF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1FA20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0A7BC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4EE6751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1FD908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44999A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Lines="0" w:beforeAutospacing="0" w:after="225" w:afterLines="0"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0747E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6A6DB0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71AD33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14C30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2646BA2">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561C5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7F8F8541">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494EA3F4">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98B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5479A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2</w:t>
            </w:r>
          </w:p>
        </w:tc>
        <w:tc>
          <w:tcPr>
            <w:tcW w:w="612" w:type="dxa"/>
            <w:noWrap w:val="0"/>
            <w:vAlign w:val="center"/>
          </w:tcPr>
          <w:p w14:paraId="47F05B12">
            <w:pPr>
              <w:snapToGrid w:val="0"/>
              <w:jc w:val="center"/>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对违反规定调运的植物和植物产品，或责令改变用途的封存、没收、销毁</w:t>
            </w:r>
          </w:p>
        </w:tc>
        <w:tc>
          <w:tcPr>
            <w:tcW w:w="615" w:type="dxa"/>
            <w:noWrap w:val="0"/>
            <w:vAlign w:val="center"/>
          </w:tcPr>
          <w:p w14:paraId="65756C1E">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139CECE0">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0317009000</w:t>
            </w:r>
          </w:p>
        </w:tc>
        <w:tc>
          <w:tcPr>
            <w:tcW w:w="1425" w:type="dxa"/>
            <w:noWrap w:val="0"/>
            <w:vAlign w:val="center"/>
          </w:tcPr>
          <w:p w14:paraId="32E1ADAD">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【行政法规】《植物检疫条例》（2017年国务院令第687号修正）</w:t>
            </w:r>
          </w:p>
          <w:p w14:paraId="2D2361F7">
            <w:pPr>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第十八条第三款 对违反本条例规定调运的植物和植物产品，植物检疫机构有权予以封存、没收、销毁或者责令改变用途。销毁所需费用由责任人承担。</w:t>
            </w:r>
          </w:p>
        </w:tc>
        <w:tc>
          <w:tcPr>
            <w:tcW w:w="675" w:type="dxa"/>
            <w:noWrap w:val="0"/>
            <w:vAlign w:val="center"/>
          </w:tcPr>
          <w:p w14:paraId="34C28BDF">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对违反规定调运的植物和植物产品，或责令改变用途的封存、没收、销毁</w:t>
            </w:r>
          </w:p>
        </w:tc>
        <w:tc>
          <w:tcPr>
            <w:tcW w:w="1500" w:type="dxa"/>
            <w:noWrap w:val="0"/>
            <w:vAlign w:val="center"/>
          </w:tcPr>
          <w:p w14:paraId="0AB268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2BDB63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593CDF0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400222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43BEA83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7ADE2B7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25B273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023E66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2896EA25">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7496B1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3C40E19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3417E342">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FC665E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5A64CA1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6F427DF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76205B2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507D3A8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3E1365E4">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69049AF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69FC7DA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6BCBC88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20A6139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13C7C573">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08B1E1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377E5B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0FC0BEF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37B146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0F7AC8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09E292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4B75D6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0B8857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014BB0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0EA1C1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7D0C58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0A1D7FA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5EC927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B1B57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A963B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49C188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880F0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31C4C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48C1BB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4BFCFA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0C410B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88F07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51C7B6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4B2B5C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720F0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3D8389B">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1182B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2DFAFD2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3648017A">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3DC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167378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3</w:t>
            </w:r>
          </w:p>
        </w:tc>
        <w:tc>
          <w:tcPr>
            <w:tcW w:w="612" w:type="dxa"/>
            <w:noWrap w:val="0"/>
            <w:vAlign w:val="center"/>
          </w:tcPr>
          <w:p w14:paraId="3DD169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封存或者扣押与案件有关的植物品种的繁殖材料，查阅、复制或者封存与案件有关的合同、帐册及有关文件</w:t>
            </w:r>
          </w:p>
        </w:tc>
        <w:tc>
          <w:tcPr>
            <w:tcW w:w="615" w:type="dxa"/>
            <w:noWrap w:val="0"/>
            <w:vAlign w:val="center"/>
          </w:tcPr>
          <w:p w14:paraId="476B81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153037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0322003000</w:t>
            </w:r>
          </w:p>
        </w:tc>
        <w:tc>
          <w:tcPr>
            <w:tcW w:w="1425" w:type="dxa"/>
            <w:noWrap w:val="0"/>
            <w:vAlign w:val="center"/>
          </w:tcPr>
          <w:p w14:paraId="581AE7BF">
            <w:pPr>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【行政法规】《中华人民共和国植物新品种保护条例》（2014年国务院令第653号修改）</w:t>
            </w:r>
          </w:p>
          <w:p w14:paraId="43106B8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xml:space="preserve">    第四十一条 省级以上人民政府农业、林业行政部门依据各自的职权在查处品种权侵权案件和县级以上人民政府农业、林业行政部门依据各自的职权在查处假冒授权品种案件时，根据需要，可以封存或者扣押与案件有关的植物品种的繁殖材料，查阅、复制或者封存与案件有关的合同、帐册及有关文件。</w:t>
            </w:r>
          </w:p>
        </w:tc>
        <w:tc>
          <w:tcPr>
            <w:tcW w:w="675" w:type="dxa"/>
            <w:noWrap w:val="0"/>
            <w:vAlign w:val="center"/>
          </w:tcPr>
          <w:p w14:paraId="1CD38C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520543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55AC8E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4B3CDA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74AB7F7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500" w:type="dxa"/>
            <w:noWrap w:val="0"/>
            <w:vAlign w:val="center"/>
          </w:tcPr>
          <w:p w14:paraId="4776D0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052B5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08BE2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21E506A0">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362564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61AEB87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2175" w:type="dxa"/>
            <w:noWrap w:val="0"/>
            <w:vAlign w:val="center"/>
          </w:tcPr>
          <w:p w14:paraId="70AAB8A2">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2979DDE">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75935865">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0214E909">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066FBBA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1D57CF44">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0C9F1A7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65C5041F">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341DFBD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2D0BD06D">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61E84377">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6E315F7B">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1245" w:type="dxa"/>
            <w:noWrap w:val="0"/>
            <w:vAlign w:val="top"/>
          </w:tcPr>
          <w:p w14:paraId="2D5F31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2F7125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765B1F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2698A1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7992C3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3252F5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4F3A61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4BC104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7D7FF5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581C4F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4D34C5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530029A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2730" w:type="dxa"/>
            <w:noWrap w:val="0"/>
            <w:vAlign w:val="center"/>
          </w:tcPr>
          <w:p w14:paraId="1E9B2C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0C4BF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DEFDC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209A7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326CA2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1ACE5B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F28EA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6.其他法律法规规章文件规定的责任承担方式。</w:t>
            </w:r>
          </w:p>
          <w:p w14:paraId="2AD1851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1200" w:type="dxa"/>
            <w:noWrap w:val="0"/>
            <w:vAlign w:val="center"/>
          </w:tcPr>
          <w:p w14:paraId="6FD439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7B9106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F1585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554B2D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14923E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5CAEF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41CCBF6">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3D0CC2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13FEDA4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5CBAA094">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702" w:type="dxa"/>
            <w:noWrap w:val="0"/>
            <w:vAlign w:val="center"/>
          </w:tcPr>
          <w:p w14:paraId="70E0E8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1873D8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7C3640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1F467A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74A662D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r>
      <w:tr w14:paraId="0D8D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CC2ED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4</w:t>
            </w:r>
          </w:p>
        </w:tc>
        <w:tc>
          <w:tcPr>
            <w:tcW w:w="612" w:type="dxa"/>
            <w:noWrap w:val="0"/>
            <w:vAlign w:val="center"/>
          </w:tcPr>
          <w:p w14:paraId="5E8593EC">
            <w:pPr>
              <w:jc w:val="center"/>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封存、没收、销毁违反植物检疫条例规定调运的植物和植物产品</w:t>
            </w:r>
          </w:p>
        </w:tc>
        <w:tc>
          <w:tcPr>
            <w:tcW w:w="615" w:type="dxa"/>
            <w:noWrap w:val="0"/>
            <w:vAlign w:val="center"/>
          </w:tcPr>
          <w:p w14:paraId="31B5E72B">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6A39B214">
            <w:pPr>
              <w:widowControl/>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0322004000</w:t>
            </w:r>
          </w:p>
        </w:tc>
        <w:tc>
          <w:tcPr>
            <w:tcW w:w="1425" w:type="dxa"/>
            <w:noWrap w:val="0"/>
            <w:vAlign w:val="center"/>
          </w:tcPr>
          <w:p w14:paraId="5CD6CA6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【行政法规】《中华人民共和国植物检疫条例》(2018年国务院令 第687号修改)</w:t>
            </w:r>
          </w:p>
          <w:p w14:paraId="25493FF5">
            <w:pPr>
              <w:adjustRightInd w:val="0"/>
              <w:snapToGrid w:val="0"/>
              <w:ind w:firstLine="360" w:firstLineChars="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第十八条第三款 对违反本条例规定调运的植物和植物产品，植物检疫机构有权予以封存、没收、销毁或者责令改变用途。销毁所需费用由责任人承担。</w:t>
            </w:r>
          </w:p>
        </w:tc>
        <w:tc>
          <w:tcPr>
            <w:tcW w:w="675" w:type="dxa"/>
            <w:noWrap w:val="0"/>
            <w:vAlign w:val="center"/>
          </w:tcPr>
          <w:p w14:paraId="1BDF66A4">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封存或者扣押与案件有关的植物品种的繁殖材料，查阅、复制或者封存与案件有关的合同、帐册及有关文件</w:t>
            </w:r>
          </w:p>
        </w:tc>
        <w:tc>
          <w:tcPr>
            <w:tcW w:w="1500" w:type="dxa"/>
            <w:noWrap w:val="0"/>
            <w:vAlign w:val="center"/>
          </w:tcPr>
          <w:p w14:paraId="546062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6DE2E2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67F32F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06BA41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64782A4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354B29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70B25B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FEC40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3FDD38FF">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14DEAA3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2BA9B64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52610FA9">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445B99C">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178D5D55">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2ABB8D12">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0190678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1868E70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0D353BD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60752D7F">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2C56F8A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03FD8B9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31B29D3E">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71A87F97">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65DBD7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734A6D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435AC9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717A80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3AF429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22E5CA1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2EA315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507FB8E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76680F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19F216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341E3C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650FBB7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6D412C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51977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3C327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A1775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20FA8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267D2E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1432E8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773F24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1DC1AA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8EB1B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1B8E02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0D24126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CD394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DA566B6">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209C5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4DA68EB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6459717C">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D57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dxa"/>
            <w:noWrap w:val="0"/>
            <w:vAlign w:val="center"/>
          </w:tcPr>
          <w:p w14:paraId="7329514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w:t>
            </w:r>
          </w:p>
        </w:tc>
        <w:tc>
          <w:tcPr>
            <w:tcW w:w="612" w:type="dxa"/>
            <w:noWrap w:val="0"/>
            <w:vAlign w:val="center"/>
          </w:tcPr>
          <w:p w14:paraId="7CE66F5A">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代为恢复擅自移动或者毁坏的林业服务标志</w:t>
            </w:r>
          </w:p>
        </w:tc>
        <w:tc>
          <w:tcPr>
            <w:tcW w:w="615" w:type="dxa"/>
            <w:noWrap w:val="0"/>
            <w:vAlign w:val="center"/>
          </w:tcPr>
          <w:p w14:paraId="6C8E6CC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6EFEBE4E">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0322005000</w:t>
            </w:r>
          </w:p>
        </w:tc>
        <w:tc>
          <w:tcPr>
            <w:tcW w:w="1425" w:type="dxa"/>
            <w:noWrap w:val="0"/>
            <w:vAlign w:val="center"/>
          </w:tcPr>
          <w:p w14:paraId="355081E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【行政法规】《中华人民共和国森林法实施条例》（2018年国务院令第698号修改）</w:t>
            </w:r>
          </w:p>
          <w:p w14:paraId="3C209137">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第四十五条  擅自移动或者毁坏林业服务标志的，由县级以上人民政府林业主管部门责令限期恢复原状；逾期不恢复原状的，由县级以上人民政府林业主管部门代为恢复，所需费用由违法者支付。</w:t>
            </w:r>
          </w:p>
        </w:tc>
        <w:tc>
          <w:tcPr>
            <w:tcW w:w="675" w:type="dxa"/>
            <w:noWrap w:val="0"/>
            <w:vAlign w:val="center"/>
          </w:tcPr>
          <w:p w14:paraId="04557E9C">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代为恢复擅自移动或者毁坏的林业服务标志</w:t>
            </w:r>
          </w:p>
        </w:tc>
        <w:tc>
          <w:tcPr>
            <w:tcW w:w="1500" w:type="dxa"/>
            <w:noWrap w:val="0"/>
            <w:vAlign w:val="center"/>
          </w:tcPr>
          <w:p w14:paraId="7A2B6B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5C6466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5F14CC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3E0C75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2B2FA59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021B26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BB12D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8E59C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2DA7A5F9">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2034AA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6CE81B6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184C70A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BE303ED">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71452983">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0191E6F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0527C883">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05D716C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722FCE73">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46BBE63E">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206A3F57">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37B24417">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0C1F5AE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1F776344">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20743C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6A3E0E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662BE7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757718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6A78C8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41C0A9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10B69B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3B3B6B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07F055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512751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21F44D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2237B02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0FF12E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98FED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79E36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AA26F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C96BB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DF524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762E84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3FC89C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BFCB42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AFE9A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594213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7508E16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AC86C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6493189">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C3478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0A1776CC">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26431868">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68F9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5F99F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6</w:t>
            </w:r>
          </w:p>
        </w:tc>
        <w:tc>
          <w:tcPr>
            <w:tcW w:w="612" w:type="dxa"/>
            <w:noWrap w:val="0"/>
            <w:vAlign w:val="center"/>
          </w:tcPr>
          <w:p w14:paraId="4A47FCC6">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代为恢复被破坏、擅自移动的禁牧标志、围栏设施</w:t>
            </w:r>
          </w:p>
        </w:tc>
        <w:tc>
          <w:tcPr>
            <w:tcW w:w="615" w:type="dxa"/>
            <w:noWrap w:val="0"/>
            <w:vAlign w:val="center"/>
          </w:tcPr>
          <w:p w14:paraId="0E82768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376D4BFA">
            <w:pP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0322006000</w:t>
            </w:r>
          </w:p>
        </w:tc>
        <w:tc>
          <w:tcPr>
            <w:tcW w:w="1425" w:type="dxa"/>
            <w:noWrap w:val="0"/>
            <w:vAlign w:val="center"/>
          </w:tcPr>
          <w:p w14:paraId="2A13895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【地方性法规】《宁夏回族自治区禁牧封育条例》(2011年) </w:t>
            </w:r>
          </w:p>
          <w:p w14:paraId="12EECF9F">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第九条第二项 在禁牧区域内禁止下列活动：（二）破坏、盗窃、擅自移动禁牧的标志、围栏设施；</w:t>
            </w:r>
          </w:p>
          <w:p w14:paraId="126402DE">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第二十三条 违反本条例第九条第二项规定，破坏、擅自移动禁牧标志、围栏设施的，由县级以上人民政府农牧、林业主管部门或者乡（镇）人民政府责令限期恢复原状，并处一百元以上二千元以下的罚款；逾期不恢复的，由农牧、林业主管部门按照各自职责代为恢复，所需费用由违法者承担。</w:t>
            </w:r>
          </w:p>
        </w:tc>
        <w:tc>
          <w:tcPr>
            <w:tcW w:w="675" w:type="dxa"/>
            <w:noWrap w:val="0"/>
            <w:vAlign w:val="center"/>
          </w:tcPr>
          <w:p w14:paraId="3DC4F322">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代为恢复被破坏、擅自移动的禁牧标志、围栏设施</w:t>
            </w:r>
          </w:p>
        </w:tc>
        <w:tc>
          <w:tcPr>
            <w:tcW w:w="1500" w:type="dxa"/>
            <w:noWrap w:val="0"/>
            <w:vAlign w:val="center"/>
          </w:tcPr>
          <w:p w14:paraId="175F6D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5403D1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772022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394E94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35C9E84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4F6C19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00F8A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27DDF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63B3FAC0">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6FCFAB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59EB5AC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01FBFE01">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A99D78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5DD41F51">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3E448835">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6EB408F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1232819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14A77947">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6C700DB2">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13865ED3">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6E65AA80">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4E4E7C4E">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38EE69A9">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77A146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28EE5D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5DFE97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653E00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7F4D7A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3684B3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572809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058F4B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121A869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2FCBC7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3BF6DF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08C22D1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76E972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57578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55987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D047E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0C626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DD1C5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63A128C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256CE1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9312C8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DF7B1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6E7B69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6F2806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C4E1F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3A2BD29">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52D06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013D17B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04326EFB">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BB3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340D7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7</w:t>
            </w:r>
          </w:p>
        </w:tc>
        <w:tc>
          <w:tcPr>
            <w:tcW w:w="612" w:type="dxa"/>
            <w:noWrap w:val="0"/>
            <w:vAlign w:val="center"/>
          </w:tcPr>
          <w:p w14:paraId="0500CFD6">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代为捕回擅自放生于野外或者因管理不当逃至野外的野生动物</w:t>
            </w:r>
          </w:p>
        </w:tc>
        <w:tc>
          <w:tcPr>
            <w:tcW w:w="615" w:type="dxa"/>
            <w:noWrap w:val="0"/>
            <w:vAlign w:val="center"/>
          </w:tcPr>
          <w:p w14:paraId="285A5FD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5320153A">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0322007000</w:t>
            </w:r>
          </w:p>
        </w:tc>
        <w:tc>
          <w:tcPr>
            <w:tcW w:w="1425" w:type="dxa"/>
            <w:noWrap w:val="0"/>
            <w:vAlign w:val="center"/>
          </w:tcPr>
          <w:p w14:paraId="703E3E21">
            <w:pPr>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【行政法规】 《中华人民共和国陆生野生动物保护实施条例》（2016年国务院令第666号修改)</w:t>
            </w:r>
          </w:p>
          <w:p w14:paraId="7BA001B1">
            <w:pPr>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第二十三条 擅自将引进的野生动物放生于野外或者因管理不当使其逃至野外的，由野生动物行政主管部门责令限期捕回或者采取其他补救措施。</w:t>
            </w:r>
          </w:p>
          <w:p w14:paraId="74038CA3">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 xml:space="preserve">    第四十二条 违反野生动物保护法规，被责令限期捕回而不捕的，被责令限期恢复原状而不恢复的，野生动物行政主管部门或者其授权的单位可以代为捕回或者恢复原状，由被责令限期捕回者或者被责令限期恢复原状者承担全部捕回或者恢复原状所需的费用。</w:t>
            </w:r>
          </w:p>
        </w:tc>
        <w:tc>
          <w:tcPr>
            <w:tcW w:w="675" w:type="dxa"/>
            <w:noWrap w:val="0"/>
            <w:vAlign w:val="center"/>
          </w:tcPr>
          <w:p w14:paraId="68B9D0AC">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代为捕回擅自放生于野外或者因管理不当逃至野外的野生动物</w:t>
            </w:r>
          </w:p>
        </w:tc>
        <w:tc>
          <w:tcPr>
            <w:tcW w:w="1500" w:type="dxa"/>
            <w:noWrap w:val="0"/>
            <w:vAlign w:val="center"/>
          </w:tcPr>
          <w:p w14:paraId="33616D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16544B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342FBD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0EBD71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4B4F2CA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16AEDA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76A430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647F72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1D7DEE59">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6C0A8F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7D8415E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1072465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ED3B9EF">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4595A9D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1630699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046DF281">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397D444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1CC690E7">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3BCBE4CE">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34D95663">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1C83143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6AB3BF00">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15054C65">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0A2049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35D026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4C2EB0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64F8B1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684281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372E70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179975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2138E1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481764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380CD2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4BF7F6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4C55389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1F8B2C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36F05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A4673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CE2377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60347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7D9A10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9CA9C8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473C54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0F7A2A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84B20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0ABDD59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340E64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F6E7E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8ABA036">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0A97A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365F461A">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0115B22C">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4A1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7BC14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8</w:t>
            </w:r>
          </w:p>
        </w:tc>
        <w:tc>
          <w:tcPr>
            <w:tcW w:w="612" w:type="dxa"/>
            <w:noWrap w:val="0"/>
            <w:vAlign w:val="center"/>
          </w:tcPr>
          <w:p w14:paraId="43541377">
            <w:pPr>
              <w:widowControl/>
              <w:adjustRightInd w:val="0"/>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代为除治森林病虫害</w:t>
            </w:r>
          </w:p>
        </w:tc>
        <w:tc>
          <w:tcPr>
            <w:tcW w:w="615" w:type="dxa"/>
            <w:noWrap w:val="0"/>
            <w:vAlign w:val="center"/>
          </w:tcPr>
          <w:p w14:paraId="31F1E225">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56D12ABE">
            <w:pPr>
              <w:widowControl/>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0322008000</w:t>
            </w:r>
          </w:p>
        </w:tc>
        <w:tc>
          <w:tcPr>
            <w:tcW w:w="1425" w:type="dxa"/>
            <w:noWrap w:val="0"/>
            <w:vAlign w:val="center"/>
          </w:tcPr>
          <w:p w14:paraId="4AFBF90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【行政法规】《森林病虫害</w:t>
            </w:r>
            <w:r>
              <w:rPr>
                <w:rFonts w:hint="eastAsia" w:ascii="仿宋_GB2312" w:hAnsi="仿宋_GB2312" w:eastAsia="仿宋_GB2312" w:cs="仿宋_GB2312"/>
                <w:color w:val="auto"/>
                <w:sz w:val="18"/>
                <w:szCs w:val="18"/>
                <w:highlight w:val="none"/>
                <w:lang w:eastAsia="zh-CN"/>
              </w:rPr>
              <w:t>防治</w:t>
            </w:r>
            <w:r>
              <w:rPr>
                <w:rFonts w:hint="eastAsia" w:ascii="仿宋_GB2312" w:hAnsi="仿宋_GB2312" w:eastAsia="仿宋_GB2312" w:cs="仿宋_GB2312"/>
                <w:color w:val="auto"/>
                <w:sz w:val="18"/>
                <w:szCs w:val="18"/>
                <w:highlight w:val="none"/>
              </w:rPr>
              <w:t>条例》（1989年国务院令第46号）</w:t>
            </w:r>
          </w:p>
          <w:p w14:paraId="37C59A2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第二十五条 被责令期限除治森林病虫害者不除治的，林业主管部门或者其授权的单位可以代为除治，由被责令限期除治者承担全部防治费用。</w:t>
            </w:r>
          </w:p>
          <w:p w14:paraId="1E101C09">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代为除治森林病虫害的工作，不因被责令限期除治者申请复议或者起诉而停止执行。</w:t>
            </w:r>
          </w:p>
        </w:tc>
        <w:tc>
          <w:tcPr>
            <w:tcW w:w="675" w:type="dxa"/>
            <w:noWrap w:val="0"/>
            <w:vAlign w:val="center"/>
          </w:tcPr>
          <w:p w14:paraId="64AA7987">
            <w:pPr>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代为除治森林病虫害</w:t>
            </w:r>
          </w:p>
        </w:tc>
        <w:tc>
          <w:tcPr>
            <w:tcW w:w="1500" w:type="dxa"/>
            <w:noWrap w:val="0"/>
            <w:vAlign w:val="center"/>
          </w:tcPr>
          <w:p w14:paraId="23050B7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0571FF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28A649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3B25D3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60031A2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08A951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14DD9B0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482CAF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1C47230C">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238967D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1989810E">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47D24BEA">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CFD892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75746E1D">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470A4B1D">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7EC1F4D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55929932">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5FE66F61">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7907F8FC">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04739E35">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5613C041">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22FF3EC5">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1E7E9417">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0C5E9D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6DEBBC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6D4BBD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39CEF2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5516EE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7A1316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0E306A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706B27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03D81B9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54A2D0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345A9FE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670F5F6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352E12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1F9B6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25BF8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0C4B74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636A4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E0668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2D31C54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227670D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392ECD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9F11E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07C016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77DC54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51C8C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BC79C57">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8D7B2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507C3C3D">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2695A2F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B80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dxa"/>
            <w:noWrap w:val="0"/>
            <w:vAlign w:val="center"/>
          </w:tcPr>
          <w:p w14:paraId="1E049BB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9</w:t>
            </w:r>
          </w:p>
        </w:tc>
        <w:tc>
          <w:tcPr>
            <w:tcW w:w="612" w:type="dxa"/>
            <w:noWrap w:val="0"/>
            <w:vAlign w:val="center"/>
          </w:tcPr>
          <w:p w14:paraId="547ADE95">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代为补种树木</w:t>
            </w:r>
          </w:p>
        </w:tc>
        <w:tc>
          <w:tcPr>
            <w:tcW w:w="615" w:type="dxa"/>
            <w:noWrap w:val="0"/>
            <w:vAlign w:val="center"/>
          </w:tcPr>
          <w:p w14:paraId="78497470">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52F51555">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0322009000</w:t>
            </w:r>
          </w:p>
        </w:tc>
        <w:tc>
          <w:tcPr>
            <w:tcW w:w="1425" w:type="dxa"/>
            <w:noWrap w:val="0"/>
            <w:vAlign w:val="center"/>
          </w:tcPr>
          <w:p w14:paraId="6B3DA419">
            <w:pPr>
              <w:adjustRightInd w:val="0"/>
              <w:snapToGrid w:val="0"/>
              <w:ind w:firstLine="360"/>
              <w:jc w:val="left"/>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【法律】《中华人民共和国森林法》(2019年修正)</w:t>
            </w:r>
          </w:p>
          <w:p w14:paraId="62C3030A">
            <w:pPr>
              <w:adjustRightInd w:val="0"/>
              <w:snapToGrid w:val="0"/>
              <w:ind w:firstLine="360"/>
              <w:jc w:val="left"/>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第八十一条 违反本法规定，有下列情形之一的，由县级以上人民政府林业主管部门依法组织代为履行，代为履行所需费用由违法者承担：</w:t>
            </w:r>
          </w:p>
          <w:p w14:paraId="537DFC88">
            <w:pPr>
              <w:pStyle w:val="4"/>
              <w:ind w:firstLine="180" w:firstLineChars="1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lang w:val="en-US" w:eastAsia="zh-CN"/>
              </w:rPr>
              <w:t>（二）拒不补种树木，或者补种不符合国家有关规定。</w:t>
            </w:r>
          </w:p>
        </w:tc>
        <w:tc>
          <w:tcPr>
            <w:tcW w:w="675" w:type="dxa"/>
            <w:noWrap w:val="0"/>
            <w:vAlign w:val="center"/>
          </w:tcPr>
          <w:p w14:paraId="3F2A7BCE">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代为补种树木</w:t>
            </w:r>
          </w:p>
        </w:tc>
        <w:tc>
          <w:tcPr>
            <w:tcW w:w="1500" w:type="dxa"/>
            <w:noWrap w:val="0"/>
            <w:vAlign w:val="center"/>
          </w:tcPr>
          <w:p w14:paraId="5C429B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71AC3F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0EA655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2026C7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3E3C917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7FD704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78BCF0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28525D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607A43D4">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1FF31C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352A9F0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1A34B48D">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1668EE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4B7065CC">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649522F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050D96AE">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54235E17">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77ECFD20">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5ADB653E">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54B7C1C9">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0B7FB7A2">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7C03A1C5">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7ABCC061">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5297B9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5E248A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30780E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6B6870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2CDAEE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1BEC21E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7B9745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201907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2B7458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49C58AF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5C8D5C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6410AE2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59D401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FD08C8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3E9350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A6F1C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8F4266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5F257C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3F75DFC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4C342BB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C65CF1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9366EF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3EF88E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3E948EA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B2D1B1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248739E">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F9AD3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1453509E">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4B0FB0B7">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B3E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A32CF1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10</w:t>
            </w:r>
          </w:p>
        </w:tc>
        <w:tc>
          <w:tcPr>
            <w:tcW w:w="612" w:type="dxa"/>
            <w:noWrap w:val="0"/>
            <w:vAlign w:val="center"/>
          </w:tcPr>
          <w:p w14:paraId="1E503A71">
            <w:pPr>
              <w:adjustRightInd w:val="0"/>
              <w:snapToGrid w:val="0"/>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封存、没收、销毁违反规定调运的森林植物及其产品</w:t>
            </w:r>
          </w:p>
          <w:p w14:paraId="24DEC2F6">
            <w:pPr>
              <w:adjustRightInd w:val="0"/>
              <w:snapToGrid w:val="0"/>
              <w:jc w:val="center"/>
              <w:rPr>
                <w:rFonts w:ascii="Calibri" w:hAnsi="Calibri" w:eastAsia="宋体" w:cs="Times New Roman"/>
                <w:color w:val="auto"/>
                <w:kern w:val="2"/>
                <w:sz w:val="21"/>
                <w:szCs w:val="24"/>
                <w:highlight w:val="none"/>
                <w:lang w:val="en-US" w:eastAsia="zh-CN" w:bidi="ar-SA"/>
              </w:rPr>
            </w:pPr>
          </w:p>
        </w:tc>
        <w:tc>
          <w:tcPr>
            <w:tcW w:w="615" w:type="dxa"/>
            <w:noWrap w:val="0"/>
            <w:vAlign w:val="center"/>
          </w:tcPr>
          <w:p w14:paraId="24A88D6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32E03FAC">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0322010000</w:t>
            </w:r>
          </w:p>
        </w:tc>
        <w:tc>
          <w:tcPr>
            <w:tcW w:w="1425" w:type="dxa"/>
            <w:noWrap w:val="0"/>
            <w:vAlign w:val="center"/>
          </w:tcPr>
          <w:p w14:paraId="06811425">
            <w:pPr>
              <w:adjustRightInd w:val="0"/>
              <w:snapToGrid w:val="0"/>
              <w:ind w:firstLine="36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【部门规章】《〈植物检疫条例〉实施细则（林业部分）》（2011年国家林业局令第26号修改）</w:t>
            </w:r>
          </w:p>
          <w:p w14:paraId="792E67F9">
            <w:pPr>
              <w:adjustRightInd w:val="0"/>
              <w:snapToGrid w:val="0"/>
              <w:ind w:firstLine="345" w:firstLineChars="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第三十条 有下列行为之一的，森检机构应当责令纠正，可以处以50元至2000元罚款；造成损失的，应当责令赔偿；构成犯罪的，由司法机关依法追究刑事责任：（一）未依照规定办理《植物检疫证书》或者在报检过程中弄虚作假的；（二）伪造、涂改、买卖、转让植物检疫单证、印章、标志、封识的；（三）未依照规定调运、隔离试种或者生产应施检疫的森林植物及其产品的；（四）违反规定，擅自开拆森林植物及其产品的包装，调换森林植物及其产品，或者擅自改变森林植物及其产品的规定用途的；（五）违反规定，引起疫情扩散的。有前款第（一）、（二）、（三）、（四）项所列情形之一尚不构成犯罪的，森检机构可以没收非法所得。对违反规定调运的森林植物及其产品，森检机构有权予以封存、没收、销毁或者责令改变用途。销毁所需费用由责任人承担。</w:t>
            </w:r>
          </w:p>
        </w:tc>
        <w:tc>
          <w:tcPr>
            <w:tcW w:w="675" w:type="dxa"/>
            <w:noWrap w:val="0"/>
            <w:vAlign w:val="center"/>
          </w:tcPr>
          <w:p w14:paraId="52C69220">
            <w:pPr>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封存、没收、销毁违反规定调运的森林植物及其产品</w:t>
            </w:r>
          </w:p>
        </w:tc>
        <w:tc>
          <w:tcPr>
            <w:tcW w:w="1500" w:type="dxa"/>
            <w:noWrap w:val="0"/>
            <w:vAlign w:val="center"/>
          </w:tcPr>
          <w:p w14:paraId="0CFF3A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1.告知责任：对涉嫌违法行为，在采取封存或扣押前告知其依法享有的陈述权和申辩权。</w:t>
            </w:r>
          </w:p>
          <w:p w14:paraId="510B41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2.决定责任：决定实施封存或扣押的，应当履行规定的程序，制作并当场交付封存或扣押决定书和清单。</w:t>
            </w:r>
          </w:p>
          <w:p w14:paraId="2E48BE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3.执行责任：封存或扣押限于涉案的场所、设施或者财物，不得封存或扣押与违法行为无关的场所、设施或者财物；不得封存或扣押公民个人及其所扶养家属的生活必需品。</w:t>
            </w:r>
          </w:p>
          <w:p w14:paraId="6FF2832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采取封存或扣押措施后，应当及时查清事实，在规定的期限内作出处理决定。对违法事实清楚，依法应当没收的非法财物予以没收；法律、行政法规规定应当销毁的，依法销毁；应当解除封存或扣押的，作出解除封存或扣押的决定。</w:t>
            </w:r>
          </w:p>
          <w:p w14:paraId="64E86BC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75" w:type="dxa"/>
            <w:noWrap w:val="0"/>
            <w:vAlign w:val="center"/>
          </w:tcPr>
          <w:p w14:paraId="08F057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70F41B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CF6CD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三条“查封、扣押限于涉案的场所、设施或者财物，不得查封、扣押与违法行为无关的场所、设施或者财物；不得查封、扣押公民个人及其所扶养家属的生活必需品。当事人的场所、设施或者财物已被其他国家机关依法查封的，不得重复查封。”</w:t>
            </w:r>
          </w:p>
          <w:p w14:paraId="7C42C8E0">
            <w:pPr>
              <w:widowControl/>
              <w:shd w:val="clear" w:color="auto" w:fill="FFFFFF"/>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》第二十六条“对查封、扣押的场所、设施或者财物，行政机关应当妥善保管，不得使用或者损毁；造成损失的，应当承担赔偿责任。”</w:t>
            </w:r>
          </w:p>
          <w:p w14:paraId="5BDECB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7390D4F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4-2.《</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HYPERLINK "http://baike.baidu.com/view/2769402.htm" \t "_blank"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行政强制法</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第二十八条“有下列情形之一的，行政机关应当及时作出解除查封、扣押决定：…解除查封、扣押应当立即退还财物；已将鲜活物品或者其他不易保管的财物拍卖或者变卖的，退还拍卖或者变卖所得款项。变卖价格明显低于市场价格，给当事人造成损失的，应当给予补偿。”</w:t>
            </w:r>
          </w:p>
        </w:tc>
        <w:tc>
          <w:tcPr>
            <w:tcW w:w="1245" w:type="dxa"/>
            <w:noWrap w:val="0"/>
            <w:vAlign w:val="center"/>
          </w:tcPr>
          <w:p w14:paraId="359888E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1654BBC">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1.对不符合条件的实施行政强制的；</w:t>
            </w:r>
          </w:p>
          <w:p w14:paraId="4A6F12A5">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2.违反法定权限、程序实施行政强制的；</w:t>
            </w:r>
          </w:p>
          <w:p w14:paraId="0E200754">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3.扩大封存或扣押范围的；</w:t>
            </w:r>
          </w:p>
          <w:p w14:paraId="4AAE72CF">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4.使用或者损毁封存或扣押场所、设施或者财物的；</w:t>
            </w:r>
          </w:p>
          <w:p w14:paraId="22E0477F">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5.在封存或扣押法定期间不作出处理决定或者未依法及时解除封存或扣押的；</w:t>
            </w:r>
          </w:p>
          <w:p w14:paraId="1B1AA5F6">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6.将封存或扣押的财物截留、私分或者变相私分的；</w:t>
            </w:r>
          </w:p>
          <w:p w14:paraId="0D7072D8">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7.利用行政强制权为单位或者个人谋取利益的；</w:t>
            </w:r>
          </w:p>
          <w:p w14:paraId="3B39F66B">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1BDDFDD7">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9.侵害公民、法人或者其他组织合法权益造成损失并依法承担行政赔偿责任；</w:t>
            </w:r>
          </w:p>
          <w:p w14:paraId="3F1129D1">
            <w:pPr>
              <w:pStyle w:val="15"/>
              <w:adjustRightInd w:val="0"/>
              <w:snapToGrid w:val="0"/>
              <w:spacing w:before="0" w:beforeAutospacing="0" w:after="0" w:afterAutospacing="0"/>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10.实施封存或扣押中滥用职权、玩忽职守、徇私舞弊的，发生腐败行为的。 </w:t>
            </w:r>
          </w:p>
          <w:p w14:paraId="4CCCDB18">
            <w:pPr>
              <w:pStyle w:val="15"/>
              <w:adjustRightInd w:val="0"/>
              <w:snapToGrid w:val="0"/>
              <w:spacing w:before="0" w:beforeAutospacing="0" w:after="0" w:afterAutospacing="0"/>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11.其他违反法律法规规章文件规定的行为。</w:t>
            </w:r>
          </w:p>
        </w:tc>
        <w:tc>
          <w:tcPr>
            <w:tcW w:w="2730" w:type="dxa"/>
            <w:noWrap w:val="0"/>
            <w:vAlign w:val="top"/>
          </w:tcPr>
          <w:p w14:paraId="036882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-1.《行政强制法》第六十一条”行政机关实施行政强制，有下列情形之一的，由上级行政机关或者有关部门责令改正，对直接负责的主管人员和其他直接责任人员依法给予处分：（一）没有法律、法规依据的；”</w:t>
            </w:r>
          </w:p>
          <w:p w14:paraId="0EBA46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1-2.《宁夏回族自治区行政责任追究办法》第十九条“行政机关及其工作人员在实施行政强制措施过程中有下列情形之一的，应当追究其行政责任：（一）没有事实和法律依据实施行政强制措施的；”</w:t>
            </w:r>
          </w:p>
          <w:p w14:paraId="1532663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行政强制法》第六十一条”行政机关实施行政强制，有下列情形之一的，由上级行政机关或者有关部门责令改正，对直接负责的主管人员和其他直接责任人员依法给予处分：（二）改变行政强制对象、条件、方式的；”</w:t>
            </w:r>
          </w:p>
          <w:p w14:paraId="670C080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-1.《行政强制法》第六十一条”行政机关实施行政强制，有下列情形之一的，由上级行政机关或者有关部门责令改正，对直接负责的主管人员和其他直接责任人员依法给予处分：（三）违反法定程序实施行政强制的；”</w:t>
            </w:r>
          </w:p>
          <w:p w14:paraId="3B9383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3-2.《宁夏回族自治区行政责任追究办法》第十九条“行政机关及其工作人员在实施行政强制措施过程中有下列情形之一的，应当追究其行政责任：（二）违反法定程序实施行政强制措施的；”</w:t>
            </w:r>
          </w:p>
          <w:p w14:paraId="544199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-1.《行政强制法》第六十一条”行政机关实施行政强制，有下列情形之一的，由上级行政机关或者有关部门责令改正，对直接负责的主管人员和其他直接责任人员依法给予处分：（四）违反本法规定，在夜间或者法定节假日实施行政强制执行的；（五）对居民生活采取停止供水、供电、供热、供燃气等方式迫使当事人履行相关行政决定的；（六）有其他违法实施行政强制情形的。</w:t>
            </w:r>
          </w:p>
          <w:p w14:paraId="295F79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4-2.《行政强制法》第六十八条”违反本法规定，给公民、法人或者其他组织造成损失的，依法给予赔偿。违反本法规定，构成犯罪的，依法追究刑事责任。”</w:t>
            </w:r>
          </w:p>
          <w:p w14:paraId="0FACDF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28A740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-1.《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14:paraId="102012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6-2.《行政强制法》第六十四条“行政机关及其工作人员利用行政强制权为单位或者个人谋取利益的，由上级行政机关或者有关部门责令改正，对直接负责的主管人员和其他直接责任人员依法给予处分。”</w:t>
            </w:r>
          </w:p>
          <w:p w14:paraId="5F6D15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57CF196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tc>
        <w:tc>
          <w:tcPr>
            <w:tcW w:w="1200" w:type="dxa"/>
            <w:noWrap w:val="0"/>
            <w:vAlign w:val="center"/>
          </w:tcPr>
          <w:p w14:paraId="69F2A8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1567E1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762688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BE64A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40B97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4.行政机关依法承担行政赔偿责任，在履行赔偿义务后，责令有故意或者重大过失的工作人员，承担部分或者全部赔偿费用；</w:t>
            </w:r>
          </w:p>
          <w:p w14:paraId="3D8F3B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5.对违反党纪的工作人员（中共党员）给予党纪处分，对构成犯罪的工作人员，移交司法机关，依法追究刑事责任；</w:t>
            </w:r>
          </w:p>
          <w:p w14:paraId="721A7C0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6.其他法律法规规章文件规定的责任承担方式。</w:t>
            </w:r>
          </w:p>
        </w:tc>
        <w:tc>
          <w:tcPr>
            <w:tcW w:w="2702" w:type="dxa"/>
            <w:noWrap w:val="0"/>
            <w:vAlign w:val="center"/>
          </w:tcPr>
          <w:p w14:paraId="654A72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E86959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240" w:lineRule="auto"/>
              <w:ind w:right="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A16A2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责任追究采用下列方式：（二）对行政机关审核人和批准人的责任追究方式为：诫勉谈话、责令限期整改、责令作出书面检查、责令公开道歉、取消年度评比先进资格、通报批评、责令停职反省或者责令辞职、建议免职以及处分；”</w:t>
            </w:r>
          </w:p>
          <w:p w14:paraId="08EBAC8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3.《宁夏回族自治区行政程序规定》第一百一十五条“（一）对行政机关的责任追究方式为：责令限期整改、通报批评、取消评比先进的资格等；</w:t>
            </w:r>
          </w:p>
          <w:p w14:paraId="6BFF612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957179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15B600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6.《行政机关公务员处分条例》第六条</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374D9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-1.《行政强制法》第六十一条“行政机关实施行政强制，有下列情形之一的，由上级行政机关或者有关部门责令改正，对直接负责的主管人员和其他直接责任人员依法给予处分：（六）有其他违法实施行政强制情形的。”</w:t>
            </w:r>
          </w:p>
          <w:p w14:paraId="0E5092D9">
            <w:pPr>
              <w:shd w:val="clear" w:color="auto" w:fill="FFFFFF"/>
              <w:adjustRightInd w:val="0"/>
              <w:snapToGrid w:val="0"/>
              <w:jc w:val="both"/>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7-2.《宁夏回族自治区行政责任追究办法》第十九条“行政机关及其工作人员在实施行政强制措施过程中有下列情形之一的，应当追究其行政责任：（五）其他违法实施行政强制措施的情形。”</w:t>
            </w:r>
          </w:p>
          <w:p w14:paraId="489FCE7E">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bl>
    <w:p w14:paraId="799B2866">
      <w:pPr>
        <w:pStyle w:val="4"/>
        <w:rPr>
          <w:rFonts w:hint="eastAsia"/>
          <w:highlight w:val="none"/>
          <w:lang w:val="en-US" w:eastAsia="zh-CN"/>
        </w:rPr>
      </w:pPr>
    </w:p>
    <w:p w14:paraId="75F98BF8">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四、行政征收（4项）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42"/>
        <w:gridCol w:w="675"/>
        <w:gridCol w:w="630"/>
        <w:gridCol w:w="2130"/>
        <w:gridCol w:w="615"/>
        <w:gridCol w:w="1260"/>
        <w:gridCol w:w="2205"/>
        <w:gridCol w:w="1095"/>
        <w:gridCol w:w="2085"/>
        <w:gridCol w:w="1665"/>
        <w:gridCol w:w="2507"/>
      </w:tblGrid>
      <w:tr w14:paraId="3298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6852DA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序号</w:t>
            </w:r>
          </w:p>
        </w:tc>
        <w:tc>
          <w:tcPr>
            <w:tcW w:w="642" w:type="dxa"/>
            <w:noWrap w:val="0"/>
            <w:vAlign w:val="center"/>
          </w:tcPr>
          <w:p w14:paraId="61DCC69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职权</w:t>
            </w:r>
          </w:p>
          <w:p w14:paraId="5EE596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highlight w:val="none"/>
              </w:rPr>
            </w:pPr>
            <w:r>
              <w:rPr>
                <w:rFonts w:hint="eastAsia" w:ascii="仿宋_GB2312" w:hAnsi="仿宋_GB2312" w:eastAsia="仿宋_GB2312" w:cs="仿宋_GB2312"/>
                <w:sz w:val="18"/>
                <w:szCs w:val="18"/>
                <w:highlight w:val="none"/>
                <w:vertAlign w:val="baseline"/>
                <w:lang w:val="en-US" w:eastAsia="zh-CN"/>
              </w:rPr>
              <w:t>名称</w:t>
            </w:r>
          </w:p>
        </w:tc>
        <w:tc>
          <w:tcPr>
            <w:tcW w:w="675" w:type="dxa"/>
            <w:noWrap w:val="0"/>
            <w:vAlign w:val="center"/>
          </w:tcPr>
          <w:p w14:paraId="2AD241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子项</w:t>
            </w:r>
          </w:p>
          <w:p w14:paraId="780683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名称</w:t>
            </w:r>
          </w:p>
        </w:tc>
        <w:tc>
          <w:tcPr>
            <w:tcW w:w="630" w:type="dxa"/>
            <w:noWrap w:val="0"/>
            <w:vAlign w:val="center"/>
          </w:tcPr>
          <w:p w14:paraId="22F869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基本编码</w:t>
            </w:r>
          </w:p>
        </w:tc>
        <w:tc>
          <w:tcPr>
            <w:tcW w:w="2130" w:type="dxa"/>
            <w:noWrap w:val="0"/>
            <w:vAlign w:val="center"/>
          </w:tcPr>
          <w:p w14:paraId="4D2C9F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职权依据</w:t>
            </w:r>
          </w:p>
        </w:tc>
        <w:tc>
          <w:tcPr>
            <w:tcW w:w="615" w:type="dxa"/>
            <w:noWrap w:val="0"/>
            <w:vAlign w:val="center"/>
          </w:tcPr>
          <w:p w14:paraId="5B3FDA7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行使内容</w:t>
            </w:r>
          </w:p>
        </w:tc>
        <w:tc>
          <w:tcPr>
            <w:tcW w:w="1260" w:type="dxa"/>
            <w:noWrap w:val="0"/>
            <w:vAlign w:val="center"/>
          </w:tcPr>
          <w:p w14:paraId="23A13C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阶段事项</w:t>
            </w:r>
          </w:p>
        </w:tc>
        <w:tc>
          <w:tcPr>
            <w:tcW w:w="2205" w:type="dxa"/>
            <w:noWrap w:val="0"/>
            <w:vAlign w:val="center"/>
          </w:tcPr>
          <w:p w14:paraId="60BE2E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责任事项依据</w:t>
            </w:r>
          </w:p>
        </w:tc>
        <w:tc>
          <w:tcPr>
            <w:tcW w:w="1095" w:type="dxa"/>
            <w:noWrap w:val="0"/>
            <w:vAlign w:val="center"/>
          </w:tcPr>
          <w:p w14:paraId="4753BD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追责情形</w:t>
            </w:r>
          </w:p>
        </w:tc>
        <w:tc>
          <w:tcPr>
            <w:tcW w:w="2085" w:type="dxa"/>
            <w:noWrap w:val="0"/>
            <w:vAlign w:val="center"/>
          </w:tcPr>
          <w:p w14:paraId="5164D7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追责情形依据</w:t>
            </w:r>
          </w:p>
        </w:tc>
        <w:tc>
          <w:tcPr>
            <w:tcW w:w="1665" w:type="dxa"/>
            <w:noWrap w:val="0"/>
            <w:vAlign w:val="center"/>
          </w:tcPr>
          <w:p w14:paraId="2A28CE0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担责方式</w:t>
            </w:r>
          </w:p>
        </w:tc>
        <w:tc>
          <w:tcPr>
            <w:tcW w:w="2507" w:type="dxa"/>
            <w:noWrap w:val="0"/>
            <w:vAlign w:val="center"/>
          </w:tcPr>
          <w:p w14:paraId="67D46F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担责方式依据</w:t>
            </w:r>
          </w:p>
        </w:tc>
      </w:tr>
      <w:tr w14:paraId="645E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59A1D6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1</w:t>
            </w:r>
          </w:p>
        </w:tc>
        <w:tc>
          <w:tcPr>
            <w:tcW w:w="642" w:type="dxa"/>
            <w:noWrap w:val="0"/>
            <w:vAlign w:val="center"/>
          </w:tcPr>
          <w:p w14:paraId="32C2202B">
            <w:pPr>
              <w:jc w:val="both"/>
              <w:rPr>
                <w:highlight w:val="none"/>
              </w:rPr>
            </w:pPr>
            <w:r>
              <w:rPr>
                <w:rFonts w:hint="eastAsia" w:ascii="仿宋_GB2312" w:hAnsi="宋体" w:eastAsia="仿宋_GB2312" w:cs="宋体"/>
                <w:kern w:val="0"/>
                <w:sz w:val="18"/>
                <w:szCs w:val="18"/>
                <w:highlight w:val="none"/>
              </w:rPr>
              <w:t>土地使用权出让金等土地有偿使用费征收</w:t>
            </w:r>
          </w:p>
        </w:tc>
        <w:tc>
          <w:tcPr>
            <w:tcW w:w="675" w:type="dxa"/>
            <w:noWrap w:val="0"/>
            <w:vAlign w:val="center"/>
          </w:tcPr>
          <w:p w14:paraId="66544453">
            <w:pPr>
              <w:jc w:val="both"/>
              <w:rPr>
                <w:rFonts w:hint="default" w:ascii="仿宋_GB2312" w:hAnsi="仿宋_GB2312" w:eastAsia="仿宋_GB2312" w:cs="仿宋_GB2312"/>
                <w:sz w:val="18"/>
                <w:szCs w:val="18"/>
                <w:highlight w:val="none"/>
                <w:vertAlign w:val="baseline"/>
                <w:lang w:val="en-US" w:eastAsia="zh-CN"/>
              </w:rPr>
            </w:pPr>
          </w:p>
        </w:tc>
        <w:tc>
          <w:tcPr>
            <w:tcW w:w="630" w:type="dxa"/>
            <w:noWrap w:val="0"/>
            <w:vAlign w:val="center"/>
          </w:tcPr>
          <w:p w14:paraId="7C608297">
            <w:pPr>
              <w:jc w:val="center"/>
              <w:rPr>
                <w:rFonts w:hint="default" w:ascii="仿宋_GB2312" w:hAnsi="仿宋_GB2312" w:eastAsia="仿宋_GB2312" w:cs="仿宋_GB2312"/>
                <w:sz w:val="18"/>
                <w:szCs w:val="18"/>
                <w:highlight w:val="none"/>
                <w:vertAlign w:val="baseline"/>
                <w:lang w:val="en-US" w:eastAsia="zh-CN"/>
              </w:rPr>
            </w:pPr>
            <w:r>
              <w:rPr>
                <w:rFonts w:hint="eastAsia" w:ascii="仿宋_GB2312" w:eastAsia="仿宋_GB2312" w:cs="仿宋_GB2312"/>
                <w:sz w:val="18"/>
                <w:szCs w:val="18"/>
                <w:highlight w:val="none"/>
              </w:rPr>
              <w:t>0412004000</w:t>
            </w:r>
          </w:p>
        </w:tc>
        <w:tc>
          <w:tcPr>
            <w:tcW w:w="2130" w:type="dxa"/>
            <w:noWrap w:val="0"/>
            <w:vAlign w:val="center"/>
          </w:tcPr>
          <w:p w14:paraId="0E429B36">
            <w:pPr>
              <w:adjustRightInd w:val="0"/>
              <w:snapToGrid w:val="0"/>
              <w:spacing w:line="260" w:lineRule="exact"/>
              <w:ind w:firstLine="360" w:firstLineChars="200"/>
              <w:rPr>
                <w:rFonts w:ascii="仿宋_GB2312" w:eastAsia="仿宋_GB2312" w:cs="仿宋_GB2312"/>
                <w:color w:val="0000FF"/>
                <w:sz w:val="18"/>
                <w:szCs w:val="18"/>
                <w:highlight w:val="none"/>
              </w:rPr>
            </w:pPr>
            <w:r>
              <w:rPr>
                <w:rFonts w:hint="eastAsia" w:ascii="仿宋_GB2312" w:eastAsia="仿宋_GB2312" w:cs="仿宋_GB2312"/>
                <w:sz w:val="18"/>
                <w:szCs w:val="18"/>
                <w:highlight w:val="none"/>
              </w:rPr>
              <w:t>【法律】《中华人民共和国土地管理法》（</w:t>
            </w:r>
            <w:r>
              <w:rPr>
                <w:rFonts w:hint="eastAsia" w:ascii="仿宋_GB2312" w:eastAsia="仿宋_GB2312" w:cs="仿宋_GB2312"/>
                <w:color w:val="0000FF"/>
                <w:sz w:val="18"/>
                <w:szCs w:val="18"/>
                <w:highlight w:val="none"/>
                <w:lang w:val="en-US" w:eastAsia="zh-CN"/>
              </w:rPr>
              <w:t>2019</w:t>
            </w:r>
            <w:r>
              <w:rPr>
                <w:rFonts w:hint="eastAsia" w:ascii="仿宋_GB2312" w:eastAsia="仿宋_GB2312" w:cs="仿宋_GB2312"/>
                <w:color w:val="0000FF"/>
                <w:sz w:val="18"/>
                <w:szCs w:val="18"/>
                <w:highlight w:val="none"/>
              </w:rPr>
              <w:t>年修正）</w:t>
            </w:r>
          </w:p>
          <w:p w14:paraId="00888DFA">
            <w:pPr>
              <w:adjustRightInd w:val="0"/>
              <w:snapToGrid w:val="0"/>
              <w:spacing w:line="260" w:lineRule="exact"/>
              <w:ind w:firstLine="360" w:firstLineChars="200"/>
              <w:rPr>
                <w:rFonts w:ascii="仿宋_GB2312" w:eastAsia="仿宋_GB2312" w:cs="仿宋_GB2312"/>
                <w:color w:val="0000FF"/>
                <w:sz w:val="18"/>
                <w:szCs w:val="18"/>
                <w:highlight w:val="none"/>
              </w:rPr>
            </w:pPr>
            <w:r>
              <w:rPr>
                <w:rFonts w:hint="eastAsia" w:ascii="仿宋_GB2312" w:eastAsia="仿宋_GB2312" w:cs="仿宋_GB2312"/>
                <w:color w:val="0000FF"/>
                <w:sz w:val="18"/>
                <w:szCs w:val="18"/>
                <w:highlight w:val="none"/>
              </w:rPr>
              <w:t>第三十条 国家保护耕地，严格控制耕地转为非耕地。</w:t>
            </w:r>
          </w:p>
          <w:p w14:paraId="3124157B">
            <w:pPr>
              <w:adjustRightInd w:val="0"/>
              <w:snapToGrid w:val="0"/>
              <w:spacing w:line="260" w:lineRule="exact"/>
              <w:ind w:firstLine="360" w:firstLineChars="200"/>
              <w:rPr>
                <w:rFonts w:ascii="仿宋_GB2312" w:eastAsia="仿宋_GB2312" w:cs="仿宋_GB2312"/>
                <w:color w:val="0000FF"/>
                <w:sz w:val="18"/>
                <w:szCs w:val="18"/>
                <w:highlight w:val="none"/>
              </w:rPr>
            </w:pPr>
            <w:r>
              <w:rPr>
                <w:rFonts w:hint="eastAsia" w:ascii="仿宋_GB2312" w:eastAsia="仿宋_GB2312" w:cs="仿宋_GB2312"/>
                <w:color w:val="0000FF"/>
                <w:sz w:val="18"/>
                <w:szCs w:val="18"/>
                <w:highlight w:val="none"/>
              </w:rPr>
              <w:t>国家实行占用耕地补偿制度。非农业建设经批准占用耕地的，按照“占多少，垦多少”的原则，由占用耕地的单位负责开垦与所占用耕地的数量和质量相当的耕 ；没有条件开垦或者开垦的耕地不符合要求的，应当按照省、自治区、直辖市的规定缴纳耕地开垦费，专款用于开垦新的耕地。</w:t>
            </w:r>
          </w:p>
          <w:p w14:paraId="3C08C25D">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color w:val="0000FF"/>
                <w:sz w:val="18"/>
                <w:szCs w:val="18"/>
                <w:highlight w:val="none"/>
              </w:rPr>
              <w:t>省、自治区、直辖市人民政府应当制定开垦耕地计划，监督占用耕地的单位按照计划开垦耕地或者按照计划组织开垦耕地，并进行验收</w:t>
            </w:r>
            <w:r>
              <w:rPr>
                <w:rFonts w:hint="eastAsia" w:ascii="仿宋_GB2312" w:eastAsia="仿宋_GB2312" w:cs="仿宋_GB2312"/>
                <w:sz w:val="18"/>
                <w:szCs w:val="18"/>
                <w:highlight w:val="none"/>
              </w:rPr>
              <w:t>。</w:t>
            </w:r>
          </w:p>
          <w:p w14:paraId="14D33BED">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第五十五条第一款 以出让等有偿使用方式取得国有土地使用权的建设单位，按照国务院规定的标准和办法，缴纳土地使用权出让金等土地有偿使用费和其他费用后，方可使用土地。</w:t>
            </w:r>
          </w:p>
          <w:p w14:paraId="5EE5B356">
            <w:pPr>
              <w:widowControl/>
              <w:snapToGrid w:val="0"/>
              <w:spacing w:line="260" w:lineRule="exact"/>
              <w:ind w:left="2" w:firstLine="270" w:firstLineChars="150"/>
              <w:rPr>
                <w:rFonts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【规范性文件】《财政部 国土资源部 中国人民银行关于印发〈国有土地使用权出让收支管理办法〉的通知》（财综〔2006〕68号）</w:t>
            </w:r>
          </w:p>
          <w:p w14:paraId="36F2E58B">
            <w:pPr>
              <w:widowControl/>
              <w:snapToGrid w:val="0"/>
              <w:spacing w:line="260" w:lineRule="exact"/>
              <w:ind w:left="2" w:leftChars="1" w:firstLine="270" w:firstLineChars="150"/>
              <w:rPr>
                <w:rFonts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第三条第四款 市、县财政部门具体负责土地出让收支管理和征收管理工作，市、县国土资源管理部门具体负责土地出让收入征收工作。</w:t>
            </w:r>
          </w:p>
          <w:p w14:paraId="77994403">
            <w:pPr>
              <w:widowControl/>
              <w:snapToGrid w:val="0"/>
              <w:spacing w:line="260" w:lineRule="exact"/>
              <w:ind w:left="2" w:leftChars="1" w:firstLine="270" w:firstLineChars="150"/>
              <w:rPr>
                <w:rFonts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【规范性文件】《宁夏回族自治区耕地开垦费征收和使用管理暂行办法》（宁财（综）发〔2012〕13号）</w:t>
            </w:r>
          </w:p>
          <w:p w14:paraId="2D9F4CF6">
            <w:pPr>
              <w:numPr>
                <w:ilvl w:val="0"/>
                <w:numId w:val="4"/>
              </w:numPr>
              <w:adjustRightInd w:val="0"/>
              <w:snapToGrid w:val="0"/>
              <w:jc w:val="left"/>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耕地开垦费由负责征地的市、县（区）国土资源行政主管部门征收。</w:t>
            </w:r>
          </w:p>
          <w:p w14:paraId="4D35C70C">
            <w:pPr>
              <w:jc w:val="both"/>
              <w:rPr>
                <w:rFonts w:hint="eastAsia" w:ascii="仿宋_GB2312" w:hAnsi="仿宋_GB2312" w:eastAsia="仿宋_GB2312" w:cs="仿宋_GB2312"/>
                <w:sz w:val="18"/>
                <w:szCs w:val="18"/>
                <w:highlight w:val="none"/>
                <w:vertAlign w:val="baseline"/>
                <w:lang w:val="en-US" w:eastAsia="zh-CN"/>
              </w:rPr>
            </w:pPr>
          </w:p>
        </w:tc>
        <w:tc>
          <w:tcPr>
            <w:tcW w:w="615" w:type="dxa"/>
            <w:noWrap w:val="0"/>
            <w:vAlign w:val="center"/>
          </w:tcPr>
          <w:p w14:paraId="1B546528">
            <w:pPr>
              <w:jc w:val="both"/>
              <w:rPr>
                <w:rFonts w:hint="eastAsia" w:ascii="仿宋_GB2312" w:hAnsi="仿宋_GB2312" w:eastAsia="仿宋_GB2312" w:cs="仿宋_GB2312"/>
                <w:sz w:val="18"/>
                <w:szCs w:val="18"/>
                <w:highlight w:val="none"/>
                <w:vertAlign w:val="baseline"/>
                <w:lang w:val="en-US" w:eastAsia="zh-CN"/>
              </w:rPr>
            </w:pPr>
            <w:r>
              <w:rPr>
                <w:rFonts w:hint="eastAsia" w:ascii="仿宋_GB2312" w:eastAsia="仿宋_GB2312" w:cs="仿宋_GB2312"/>
                <w:color w:val="auto"/>
                <w:sz w:val="18"/>
                <w:szCs w:val="18"/>
                <w:highlight w:val="none"/>
              </w:rPr>
              <w:t>对大武口中心城区</w:t>
            </w:r>
            <w:r>
              <w:rPr>
                <w:rFonts w:hint="eastAsia" w:ascii="仿宋_GB2312" w:eastAsia="仿宋_GB2312" w:cs="仿宋_GB2312"/>
                <w:color w:val="auto"/>
                <w:sz w:val="18"/>
                <w:szCs w:val="18"/>
                <w:highlight w:val="none"/>
                <w:lang w:eastAsia="zh-CN"/>
              </w:rPr>
              <w:t>外</w:t>
            </w:r>
            <w:r>
              <w:rPr>
                <w:rFonts w:hint="eastAsia" w:ascii="仿宋_GB2312" w:eastAsia="仿宋_GB2312" w:cs="仿宋_GB2312"/>
                <w:color w:val="auto"/>
                <w:sz w:val="18"/>
                <w:szCs w:val="18"/>
                <w:highlight w:val="none"/>
              </w:rPr>
              <w:t>土地</w:t>
            </w:r>
            <w:r>
              <w:rPr>
                <w:rFonts w:hint="eastAsia" w:ascii="仿宋_GB2312" w:eastAsia="仿宋_GB2312" w:cs="仿宋_GB2312"/>
                <w:color w:val="auto"/>
                <w:sz w:val="18"/>
                <w:szCs w:val="18"/>
                <w:highlight w:val="none"/>
                <w:lang w:eastAsia="zh-CN"/>
              </w:rPr>
              <w:t>出让金</w:t>
            </w:r>
            <w:r>
              <w:rPr>
                <w:rFonts w:hint="eastAsia" w:ascii="仿宋_GB2312" w:eastAsia="仿宋_GB2312" w:cs="仿宋_GB2312"/>
                <w:color w:val="auto"/>
                <w:sz w:val="18"/>
                <w:szCs w:val="18"/>
                <w:highlight w:val="none"/>
              </w:rPr>
              <w:t>进行征收</w:t>
            </w:r>
          </w:p>
        </w:tc>
        <w:tc>
          <w:tcPr>
            <w:tcW w:w="1260" w:type="dxa"/>
            <w:noWrap w:val="0"/>
            <w:vAlign w:val="center"/>
          </w:tcPr>
          <w:p w14:paraId="19951D1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6ACAA702">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2.审核责任：按照法定程序和条件，对提交材料进行审查，提出审核意见。</w:t>
            </w:r>
          </w:p>
          <w:p w14:paraId="776D342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3.决定责任：作出征收或者不予征收的决定；不予征收的，应当书面通知申请人。</w:t>
            </w:r>
          </w:p>
          <w:p w14:paraId="4C096E0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7DD8BFA5">
            <w:pPr>
              <w:shd w:val="clear" w:color="auto" w:fill="FFFFFF"/>
              <w:adjustRightInd w:val="0"/>
              <w:snapToGrid w:val="0"/>
              <w:rPr>
                <w:rFonts w:hint="eastAsia" w:ascii="仿宋_GB2312" w:hAnsi="仿宋_GB2312" w:eastAsia="仿宋_GB2312" w:cs="仿宋_GB2312"/>
                <w:kern w:val="0"/>
                <w:sz w:val="18"/>
                <w:szCs w:val="18"/>
                <w:highlight w:val="none"/>
                <w:lang w:val="en-US" w:eastAsia="zh-CN" w:bidi="ar-SA"/>
              </w:rPr>
            </w:pPr>
            <w:r>
              <w:rPr>
                <w:rFonts w:hint="eastAsia" w:ascii="仿宋_GB2312" w:hAnsi="仿宋_GB2312" w:eastAsia="仿宋_GB2312" w:cs="仿宋_GB2312"/>
                <w:sz w:val="18"/>
                <w:szCs w:val="18"/>
                <w:highlight w:val="none"/>
              </w:rPr>
              <w:t>5.其他法律法规规章文件规定应履行的责任。</w:t>
            </w:r>
          </w:p>
        </w:tc>
        <w:tc>
          <w:tcPr>
            <w:tcW w:w="2205" w:type="dxa"/>
            <w:noWrap w:val="0"/>
            <w:vAlign w:val="center"/>
          </w:tcPr>
          <w:p w14:paraId="4A70D9A0">
            <w:pPr>
              <w:adjustRightInd w:val="0"/>
              <w:snapToGrid w:val="0"/>
              <w:spacing w:line="260" w:lineRule="exact"/>
              <w:ind w:firstLine="360" w:firstLineChars="200"/>
              <w:rPr>
                <w:rFonts w:ascii="仿宋_GB2312" w:eastAsia="仿宋_GB2312" w:cs="仿宋_GB2312"/>
                <w:color w:val="0000FF"/>
                <w:sz w:val="18"/>
                <w:szCs w:val="18"/>
                <w:highlight w:val="none"/>
              </w:rPr>
            </w:pPr>
            <w:r>
              <w:rPr>
                <w:rFonts w:hint="eastAsia" w:ascii="仿宋_GB2312" w:eastAsia="仿宋_GB2312" w:cs="仿宋_GB2312"/>
                <w:sz w:val="18"/>
                <w:szCs w:val="18"/>
                <w:highlight w:val="none"/>
              </w:rPr>
              <w:t>1、【法律】《中华人民共和国土地管理法》</w:t>
            </w:r>
            <w:r>
              <w:rPr>
                <w:rFonts w:hint="eastAsia" w:ascii="仿宋_GB2312" w:eastAsia="仿宋_GB2312" w:cs="仿宋_GB2312"/>
                <w:color w:val="0000FF"/>
                <w:sz w:val="18"/>
                <w:szCs w:val="18"/>
                <w:highlight w:val="none"/>
              </w:rPr>
              <w:t>（20</w:t>
            </w:r>
            <w:r>
              <w:rPr>
                <w:rFonts w:hint="eastAsia" w:ascii="仿宋_GB2312" w:eastAsia="仿宋_GB2312" w:cs="仿宋_GB2312"/>
                <w:color w:val="0000FF"/>
                <w:sz w:val="18"/>
                <w:szCs w:val="18"/>
                <w:highlight w:val="none"/>
                <w:lang w:val="en-US" w:eastAsia="zh-CN"/>
              </w:rPr>
              <w:t>19</w:t>
            </w:r>
            <w:r>
              <w:rPr>
                <w:rFonts w:hint="eastAsia" w:ascii="仿宋_GB2312" w:eastAsia="仿宋_GB2312" w:cs="仿宋_GB2312"/>
                <w:color w:val="0000FF"/>
                <w:sz w:val="18"/>
                <w:szCs w:val="18"/>
                <w:highlight w:val="none"/>
              </w:rPr>
              <w:t>年修正）</w:t>
            </w:r>
          </w:p>
          <w:p w14:paraId="6A8271E3">
            <w:pPr>
              <w:adjustRightInd w:val="0"/>
              <w:snapToGrid w:val="0"/>
              <w:spacing w:line="260" w:lineRule="exact"/>
              <w:ind w:firstLine="360" w:firstLineChars="200"/>
              <w:rPr>
                <w:rFonts w:ascii="仿宋_GB2312" w:eastAsia="仿宋_GB2312" w:cs="仿宋_GB2312"/>
                <w:color w:val="0000FF"/>
                <w:sz w:val="18"/>
                <w:szCs w:val="18"/>
                <w:highlight w:val="none"/>
              </w:rPr>
            </w:pPr>
            <w:r>
              <w:rPr>
                <w:rFonts w:hint="eastAsia" w:ascii="仿宋_GB2312" w:eastAsia="仿宋_GB2312" w:cs="仿宋_GB2312"/>
                <w:color w:val="0000FF"/>
                <w:sz w:val="18"/>
                <w:szCs w:val="18"/>
                <w:highlight w:val="none"/>
              </w:rPr>
              <w:t>第三十条 国家保护耕地，严格控制耕地转为非耕地。</w:t>
            </w:r>
          </w:p>
          <w:p w14:paraId="359A69BE">
            <w:pPr>
              <w:adjustRightInd w:val="0"/>
              <w:snapToGrid w:val="0"/>
              <w:spacing w:line="260" w:lineRule="exact"/>
              <w:ind w:firstLine="360" w:firstLineChars="200"/>
              <w:rPr>
                <w:rFonts w:ascii="仿宋_GB2312" w:eastAsia="仿宋_GB2312" w:cs="仿宋_GB2312"/>
                <w:color w:val="0000FF"/>
                <w:sz w:val="18"/>
                <w:szCs w:val="18"/>
                <w:highlight w:val="none"/>
              </w:rPr>
            </w:pPr>
            <w:r>
              <w:rPr>
                <w:rFonts w:hint="eastAsia" w:ascii="仿宋_GB2312" w:eastAsia="仿宋_GB2312" w:cs="仿宋_GB2312"/>
                <w:color w:val="0000FF"/>
                <w:sz w:val="18"/>
                <w:szCs w:val="18"/>
                <w:highlight w:val="none"/>
              </w:rPr>
              <w:t>国家实行占用耕地补偿制度。非农业建设经批准占用耕地的，按照“占多少，垦多少”的原则，由占用耕地的单位负责开垦与所占用耕地的数量和质量相当的耕 ；没有条件开垦或者开垦的耕地不符合要求的，应当按照省、自治区、直辖市的规定缴纳耕地开垦费，专款用于开垦新的耕地。</w:t>
            </w:r>
          </w:p>
          <w:p w14:paraId="6BB1B355">
            <w:pPr>
              <w:adjustRightInd w:val="0"/>
              <w:snapToGrid w:val="0"/>
              <w:spacing w:line="260" w:lineRule="exact"/>
              <w:ind w:firstLine="360" w:firstLineChars="200"/>
              <w:rPr>
                <w:rFonts w:ascii="仿宋_GB2312" w:eastAsia="仿宋_GB2312" w:cs="仿宋_GB2312"/>
                <w:color w:val="0000FF"/>
                <w:sz w:val="18"/>
                <w:szCs w:val="18"/>
                <w:highlight w:val="none"/>
              </w:rPr>
            </w:pPr>
            <w:r>
              <w:rPr>
                <w:rFonts w:hint="eastAsia" w:ascii="仿宋_GB2312" w:eastAsia="仿宋_GB2312" w:cs="仿宋_GB2312"/>
                <w:color w:val="0000FF"/>
                <w:sz w:val="18"/>
                <w:szCs w:val="18"/>
                <w:highlight w:val="none"/>
              </w:rPr>
              <w:t>省、自治区、直辖市人民政府应当制定开垦耕地计划，监督占用耕地的单位按照计划开垦耕地或者按照计划组织开垦耕地，并进行验收。</w:t>
            </w:r>
          </w:p>
          <w:p w14:paraId="7A7F4A4F">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第五十五条第一款 以出让等有偿使用方式取得国有土地使用权的建设单位，按照国务院规定的标准和办法，缴纳土地使用权出让金等土地有偿使用费和其他费用后，方可使用土地。</w:t>
            </w:r>
          </w:p>
          <w:p w14:paraId="21439906">
            <w:pPr>
              <w:widowControl/>
              <w:snapToGrid w:val="0"/>
              <w:spacing w:line="260" w:lineRule="exact"/>
              <w:ind w:left="2" w:firstLine="270" w:firstLineChars="150"/>
              <w:rPr>
                <w:rFonts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2、【规范性文件】《财政部 国土资源部 中国人民银行关于印发〈国有土地使用权出让收支管理办法〉的通知》（财综〔2006〕68号）</w:t>
            </w:r>
          </w:p>
          <w:p w14:paraId="0994C433">
            <w:pPr>
              <w:widowControl/>
              <w:snapToGrid w:val="0"/>
              <w:spacing w:line="260" w:lineRule="exact"/>
              <w:ind w:left="2" w:leftChars="1" w:firstLine="270" w:firstLineChars="150"/>
              <w:rPr>
                <w:rFonts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第三条第四款 市、县财政部门具体负责土地出让收支管理和征收管理工作，市、县国土资源管理部门具体负责土地出让收入征收工作。</w:t>
            </w:r>
          </w:p>
          <w:p w14:paraId="04A2D9EF">
            <w:pPr>
              <w:widowControl/>
              <w:snapToGrid w:val="0"/>
              <w:spacing w:line="260" w:lineRule="exact"/>
              <w:rPr>
                <w:rFonts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3、【规范性文件】《宁夏回族自治区耕地开垦费征收和使用管理暂行办法》（宁财（综）发〔2012〕13号）</w:t>
            </w:r>
          </w:p>
          <w:p w14:paraId="22C5348B">
            <w:pPr>
              <w:numPr>
                <w:ilvl w:val="0"/>
                <w:numId w:val="4"/>
              </w:numPr>
              <w:adjustRightInd w:val="0"/>
              <w:snapToGrid w:val="0"/>
              <w:jc w:val="left"/>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kern w:val="0"/>
                <w:sz w:val="18"/>
                <w:szCs w:val="18"/>
                <w:highlight w:val="none"/>
              </w:rPr>
              <w:t>耕地开垦费由负责征地的市、县（区）国土资源行政主管部门征收。</w:t>
            </w:r>
          </w:p>
        </w:tc>
        <w:tc>
          <w:tcPr>
            <w:tcW w:w="1095" w:type="dxa"/>
            <w:noWrap w:val="0"/>
            <w:vAlign w:val="center"/>
          </w:tcPr>
          <w:p w14:paraId="0EB871B5">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69C9C72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1.没有法定依据实施征收的；</w:t>
            </w:r>
          </w:p>
          <w:p w14:paraId="0400F0C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2.擅自改变征收项目的范围、标准、对象和期限的；</w:t>
            </w:r>
          </w:p>
          <w:p w14:paraId="688CB75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3.截留、挪用、坐支或者私分征收款物的；</w:t>
            </w:r>
          </w:p>
          <w:p w14:paraId="6C0DDC8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4.不使用法定部门制发的专用征收票据的；</w:t>
            </w:r>
          </w:p>
          <w:p w14:paraId="53A54006">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kern w:val="0"/>
                <w:sz w:val="18"/>
                <w:szCs w:val="18"/>
                <w:highlight w:val="none"/>
              </w:rPr>
              <w:t>5.滥用职权、玩忽职守、徇私舞弊的；</w:t>
            </w:r>
          </w:p>
          <w:p w14:paraId="18467484">
            <w:pPr>
              <w:widowControl/>
              <w:adjustRightInd w:val="0"/>
              <w:snapToGrid w:val="0"/>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6.未按裁量权规定，滥用裁量权的；</w:t>
            </w:r>
          </w:p>
          <w:p w14:paraId="473C13B5">
            <w:pPr>
              <w:widowControl/>
              <w:adjustRightInd w:val="0"/>
              <w:snapToGrid w:val="0"/>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7.侵害公民、法人或者其他组织合法权益造成损失的；</w:t>
            </w:r>
          </w:p>
          <w:p w14:paraId="7455B2D4">
            <w:pPr>
              <w:shd w:val="clear" w:color="auto" w:fill="FFFFFF"/>
              <w:adjustRightInd w:val="0"/>
              <w:snapToGrid w:val="0"/>
              <w:rPr>
                <w:rFonts w:hint="eastAsia" w:ascii="仿宋_GB2312" w:hAnsi="仿宋_GB2312" w:eastAsia="仿宋_GB2312" w:cs="仿宋_GB2312"/>
                <w:kern w:val="0"/>
                <w:sz w:val="18"/>
                <w:szCs w:val="18"/>
                <w:highlight w:val="none"/>
                <w:lang w:val="en-US" w:eastAsia="zh-CN" w:bidi="ar-SA"/>
              </w:rPr>
            </w:pPr>
            <w:r>
              <w:rPr>
                <w:rFonts w:hint="eastAsia" w:ascii="仿宋_GB2312" w:hAnsi="仿宋_GB2312" w:eastAsia="仿宋_GB2312" w:cs="仿宋_GB2312"/>
                <w:sz w:val="18"/>
                <w:szCs w:val="18"/>
                <w:highlight w:val="none"/>
              </w:rPr>
              <w:t>8.其他违反法律法规规章文件规定的行为。</w:t>
            </w:r>
          </w:p>
        </w:tc>
        <w:tc>
          <w:tcPr>
            <w:tcW w:w="2085" w:type="dxa"/>
            <w:noWrap w:val="0"/>
            <w:vAlign w:val="center"/>
          </w:tcPr>
          <w:p w14:paraId="3EAA8F7A">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1.《宁夏回族自治区行政责任追究办法》第十八条“行政机关及其工作人员在实施行政征收过程中有下列情形之一的，应当追究其行政责任：（一）没有法定依据实施征收的；”</w:t>
            </w:r>
          </w:p>
          <w:p w14:paraId="441B8972">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2.《宁夏回族自治区行政责任追究办法》第十八条“行政机关及其工作人员在实施行政征收过程中有下列情形之一的，应当追究其行政责任：（二）擅自改变征收项目的范围、标准、对象和期限的；”</w:t>
            </w:r>
          </w:p>
          <w:p w14:paraId="475BED7B">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3.《宁夏回族自治区行政责任追究办法》第十八条“（三）截留、挪用、坐支或者私分征收款物的；</w:t>
            </w:r>
          </w:p>
          <w:p w14:paraId="34A72C8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4.《宁夏回族自治区行政责任追究办法》第十八条“（四）不使用法定部门制发的专用征收票据的；</w:t>
            </w:r>
          </w:p>
          <w:p w14:paraId="7889A3E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67E455C6">
            <w:pPr>
              <w:adjustRightInd w:val="0"/>
              <w:snapToGrid w:val="0"/>
              <w:ind w:left="-80" w:leftChars="-38" w:right="-86" w:rightChars="-41"/>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6.《宁夏回族自治区行政程序规定》第一百一十三条“行政机关及其工作人员违反本规定，有下列情形之一的，依照国家和自治区有关规定追究责任：…（六）不按照行政裁量权基准进行裁量的；…”</w:t>
            </w:r>
          </w:p>
          <w:p w14:paraId="3B031F4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7.《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46A7704">
            <w:pPr>
              <w:shd w:val="clear" w:color="auto" w:fill="FFFFFF"/>
              <w:adjustRightInd w:val="0"/>
              <w:snapToGrid w:val="0"/>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8.《宁夏回族自治区行政责任追究办法》第十八条“（五）其他违法实施行政征收的情形。</w:t>
            </w:r>
          </w:p>
        </w:tc>
        <w:tc>
          <w:tcPr>
            <w:tcW w:w="1665" w:type="dxa"/>
            <w:noWrap w:val="0"/>
            <w:vAlign w:val="center"/>
          </w:tcPr>
          <w:p w14:paraId="36BD7EB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DE4FAA9">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0BFF69A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68F6F7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4AAAFB3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5DAF25D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5.其他法律法规规章文件规定的责任承担方式。</w:t>
            </w:r>
          </w:p>
          <w:p w14:paraId="3E223F61">
            <w:pPr>
              <w:shd w:val="clear" w:color="auto" w:fill="FFFFFF"/>
              <w:adjustRightInd w:val="0"/>
              <w:snapToGrid w:val="0"/>
              <w:rPr>
                <w:rFonts w:hint="eastAsia" w:ascii="仿宋_GB2312" w:hAnsi="仿宋_GB2312" w:eastAsia="仿宋_GB2312" w:cs="仿宋_GB2312"/>
                <w:sz w:val="18"/>
                <w:szCs w:val="18"/>
                <w:highlight w:val="none"/>
              </w:rPr>
            </w:pPr>
          </w:p>
          <w:p w14:paraId="08270BE5">
            <w:pPr>
              <w:shd w:val="clear" w:color="auto" w:fill="FFFFFF"/>
              <w:adjustRightInd w:val="0"/>
              <w:snapToGrid w:val="0"/>
              <w:rPr>
                <w:rFonts w:hint="eastAsia" w:ascii="仿宋_GB2312" w:hAnsi="仿宋_GB2312" w:eastAsia="仿宋_GB2312" w:cs="仿宋_GB2312"/>
                <w:kern w:val="2"/>
                <w:sz w:val="18"/>
                <w:szCs w:val="18"/>
                <w:highlight w:val="none"/>
                <w:lang w:val="en-US" w:eastAsia="zh-CN" w:bidi="ar-SA"/>
              </w:rPr>
            </w:pPr>
          </w:p>
        </w:tc>
        <w:tc>
          <w:tcPr>
            <w:tcW w:w="2507" w:type="dxa"/>
            <w:noWrap w:val="0"/>
            <w:vAlign w:val="center"/>
          </w:tcPr>
          <w:p w14:paraId="53B9195C">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C0E9E9B">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55C6F86">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699C967A">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3DB91D1B">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45A06830">
            <w:pPr>
              <w:shd w:val="clear" w:color="auto" w:fill="FFFFFF"/>
              <w:adjustRightInd w:val="0"/>
              <w:snapToGrid w:val="0"/>
              <w:rPr>
                <w:rFonts w:hint="eastAsia" w:ascii="仿宋_GB2312" w:hAnsi="仿宋_GB2312" w:eastAsia="仿宋_GB2312" w:cs="仿宋_GB2312"/>
                <w:color w:val="0000CC"/>
                <w:kern w:val="2"/>
                <w:sz w:val="18"/>
                <w:szCs w:val="18"/>
                <w:highlight w:val="none"/>
                <w:lang w:val="en-US" w:eastAsia="zh-CN" w:bidi="ar-SA"/>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r w14:paraId="1602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98C3A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2</w:t>
            </w:r>
          </w:p>
        </w:tc>
        <w:tc>
          <w:tcPr>
            <w:tcW w:w="642" w:type="dxa"/>
            <w:noWrap w:val="0"/>
            <w:vAlign w:val="center"/>
          </w:tcPr>
          <w:p w14:paraId="1CDDB1A9">
            <w:pPr>
              <w:jc w:val="both"/>
              <w:rPr>
                <w:highlight w:val="none"/>
              </w:rPr>
            </w:pPr>
            <w:r>
              <w:rPr>
                <w:rFonts w:hint="eastAsia" w:ascii="仿宋_GB2312" w:hAnsi="宋体" w:eastAsia="仿宋_GB2312" w:cs="宋体"/>
                <w:color w:val="auto"/>
                <w:kern w:val="0"/>
                <w:sz w:val="18"/>
                <w:szCs w:val="18"/>
                <w:highlight w:val="none"/>
              </w:rPr>
              <w:t>土地闲置费征收</w:t>
            </w:r>
          </w:p>
        </w:tc>
        <w:tc>
          <w:tcPr>
            <w:tcW w:w="675" w:type="dxa"/>
            <w:noWrap w:val="0"/>
            <w:vAlign w:val="center"/>
          </w:tcPr>
          <w:p w14:paraId="2D375CC3">
            <w:pPr>
              <w:jc w:val="both"/>
              <w:rPr>
                <w:rFonts w:hint="eastAsia" w:ascii="仿宋_GB2312" w:hAnsi="仿宋_GB2312" w:eastAsia="仿宋_GB2312" w:cs="仿宋_GB2312"/>
                <w:sz w:val="18"/>
                <w:szCs w:val="18"/>
                <w:highlight w:val="none"/>
                <w:vertAlign w:val="baseline"/>
                <w:lang w:val="en-US" w:eastAsia="zh-CN"/>
              </w:rPr>
            </w:pPr>
          </w:p>
        </w:tc>
        <w:tc>
          <w:tcPr>
            <w:tcW w:w="630" w:type="dxa"/>
            <w:noWrap w:val="0"/>
            <w:vAlign w:val="center"/>
          </w:tcPr>
          <w:p w14:paraId="4471BC63">
            <w:pPr>
              <w:jc w:val="center"/>
              <w:rPr>
                <w:rFonts w:hint="eastAsia" w:ascii="仿宋_GB2312" w:hAnsi="仿宋_GB2312" w:eastAsia="仿宋_GB2312" w:cs="仿宋_GB2312"/>
                <w:sz w:val="18"/>
                <w:szCs w:val="18"/>
                <w:highlight w:val="none"/>
                <w:vertAlign w:val="baseline"/>
                <w:lang w:val="en-US" w:eastAsia="zh-CN"/>
              </w:rPr>
            </w:pPr>
            <w:r>
              <w:rPr>
                <w:rFonts w:hint="eastAsia" w:ascii="仿宋_GB2312" w:eastAsia="仿宋_GB2312" w:cs="仿宋_GB2312"/>
                <w:color w:val="auto"/>
                <w:sz w:val="18"/>
                <w:szCs w:val="18"/>
                <w:highlight w:val="none"/>
              </w:rPr>
              <w:t>0412005000</w:t>
            </w:r>
          </w:p>
        </w:tc>
        <w:tc>
          <w:tcPr>
            <w:tcW w:w="2130" w:type="dxa"/>
            <w:noWrap w:val="0"/>
            <w:vAlign w:val="center"/>
          </w:tcPr>
          <w:p w14:paraId="74C26107">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【地方性法规】《宁夏回族自治区土地管理条例》（2012年修正）</w:t>
            </w:r>
          </w:p>
          <w:p w14:paraId="2497E6EE">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第二十八条第一款 禁止任何单位和个人闲置、撂荒耕地。已经批准的非农业建设占用耕地，一年内不用而又可以耕种收获的，应当暂借给原耕种该幅耕地的集体经济组织或者个人继续耕种，也可以由用地单位组织耕种；一年以上未动工建设而闲置未用的，由县级以上人民政府土地行政主管部门征收土地闲置费并限期开发利用；未经原批准机关同意，连续二年未利用的，经原批准机关批准，无偿收回用地单位的土地使用权；该幅土地属农民集体所有未经征用的耕地，应当由原农村集体经济组织恢复耕种。</w:t>
            </w:r>
          </w:p>
          <w:p w14:paraId="11ECE9AA">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【部门规章】《闲置土地处置办法》（2012年国土资源部令第53号修订）</w:t>
            </w:r>
          </w:p>
          <w:p w14:paraId="0A990919">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第十四条 除本办法第八条规定情形外，闲置土地按照下列方式处理：</w:t>
            </w:r>
          </w:p>
          <w:p w14:paraId="1E7C6948">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一）未动工开发满一年的，由市、县国土资源主管部门报经本级人民政府批准后，向国有建设用地使用权人下达《征缴土地闲置费决定书》，按照土地出让或者划拨价款的百分之二十征缴土地闲置费。土地闲置费不得列入生产成本；</w:t>
            </w:r>
          </w:p>
          <w:p w14:paraId="74DE52A4">
            <w:pPr>
              <w:jc w:val="both"/>
              <w:rPr>
                <w:rFonts w:hint="eastAsia" w:ascii="仿宋_GB2312" w:hAnsi="仿宋_GB2312" w:eastAsia="仿宋_GB2312" w:cs="仿宋_GB2312"/>
                <w:sz w:val="18"/>
                <w:szCs w:val="18"/>
                <w:highlight w:val="none"/>
                <w:vertAlign w:val="baseline"/>
                <w:lang w:val="en-US" w:eastAsia="zh-CN"/>
              </w:rPr>
            </w:pPr>
            <w:r>
              <w:rPr>
                <w:rFonts w:hint="eastAsia" w:ascii="仿宋_GB2312" w:eastAsia="仿宋_GB2312" w:cs="仿宋_GB2312"/>
                <w:sz w:val="18"/>
                <w:szCs w:val="18"/>
                <w:highlight w:val="none"/>
              </w:rPr>
              <w:t>（二）未动工开发满两年的，由市、县国土资源主管部门按照《中华人民共和国土地管理法》第三十七条和《中华人民共和国城市房地产管理法》第二十六条的规定，报经有批</w:t>
            </w:r>
            <w:r>
              <w:rPr>
                <w:rFonts w:hint="eastAsia" w:ascii="仿宋_GB2312" w:hAnsi="宋体" w:eastAsia="仿宋_GB2312"/>
                <w:sz w:val="18"/>
                <w:szCs w:val="18"/>
                <w:highlight w:val="none"/>
              </w:rPr>
              <w:t>准权的人民政府批准后，向国有建设用地使用权人下达《收回国有建设用地使用权决定书》，无偿收回国有建设用地使用权。闲置土地设有抵押权的，同时抄送相关土地抵押权人。</w:t>
            </w:r>
          </w:p>
        </w:tc>
        <w:tc>
          <w:tcPr>
            <w:tcW w:w="615" w:type="dxa"/>
            <w:noWrap w:val="0"/>
            <w:vAlign w:val="center"/>
          </w:tcPr>
          <w:p w14:paraId="2D67C1AA">
            <w:pPr>
              <w:jc w:val="both"/>
              <w:rPr>
                <w:rFonts w:hint="eastAsia" w:ascii="仿宋_GB2312" w:hAnsi="仿宋_GB2312" w:eastAsia="仿宋_GB2312" w:cs="仿宋_GB2312"/>
                <w:sz w:val="18"/>
                <w:szCs w:val="18"/>
                <w:highlight w:val="none"/>
                <w:vertAlign w:val="baseline"/>
                <w:lang w:val="en-US" w:eastAsia="zh-CN"/>
              </w:rPr>
            </w:pPr>
            <w:r>
              <w:rPr>
                <w:rFonts w:hint="eastAsia" w:ascii="仿宋_GB2312" w:eastAsia="仿宋_GB2312" w:cs="仿宋_GB2312"/>
                <w:color w:val="auto"/>
                <w:sz w:val="18"/>
                <w:szCs w:val="18"/>
                <w:highlight w:val="none"/>
              </w:rPr>
              <w:t>对大武口中心城区</w:t>
            </w:r>
            <w:r>
              <w:rPr>
                <w:rFonts w:hint="eastAsia" w:ascii="仿宋_GB2312" w:eastAsia="仿宋_GB2312" w:cs="仿宋_GB2312"/>
                <w:color w:val="auto"/>
                <w:sz w:val="18"/>
                <w:szCs w:val="18"/>
                <w:highlight w:val="none"/>
                <w:lang w:eastAsia="zh-CN"/>
              </w:rPr>
              <w:t>外</w:t>
            </w:r>
            <w:r>
              <w:rPr>
                <w:rFonts w:hint="eastAsia" w:ascii="仿宋_GB2312" w:eastAsia="仿宋_GB2312" w:cs="仿宋_GB2312"/>
                <w:color w:val="auto"/>
                <w:sz w:val="18"/>
                <w:szCs w:val="18"/>
                <w:highlight w:val="none"/>
              </w:rPr>
              <w:t>土地</w:t>
            </w:r>
            <w:r>
              <w:rPr>
                <w:rFonts w:hint="eastAsia" w:ascii="仿宋_GB2312" w:eastAsia="仿宋_GB2312" w:cs="仿宋_GB2312"/>
                <w:color w:val="auto"/>
                <w:sz w:val="18"/>
                <w:szCs w:val="18"/>
                <w:highlight w:val="none"/>
                <w:lang w:eastAsia="zh-CN"/>
              </w:rPr>
              <w:t>闲置费</w:t>
            </w:r>
            <w:r>
              <w:rPr>
                <w:rFonts w:hint="eastAsia" w:ascii="仿宋_GB2312" w:eastAsia="仿宋_GB2312" w:cs="仿宋_GB2312"/>
                <w:color w:val="auto"/>
                <w:sz w:val="18"/>
                <w:szCs w:val="18"/>
                <w:highlight w:val="none"/>
              </w:rPr>
              <w:t>进行征收</w:t>
            </w:r>
          </w:p>
        </w:tc>
        <w:tc>
          <w:tcPr>
            <w:tcW w:w="1260" w:type="dxa"/>
            <w:noWrap w:val="0"/>
            <w:vAlign w:val="center"/>
          </w:tcPr>
          <w:p w14:paraId="25BE0E5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679F3CB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2.审核责任：按照法定程序和条件，对提交材料进行审查，提出审核意见。</w:t>
            </w:r>
          </w:p>
          <w:p w14:paraId="308D7039">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3.决定责任：作出征收或者不予征收的决定；不予征收的，应当书面通知申请人。</w:t>
            </w:r>
          </w:p>
          <w:p w14:paraId="45F60D8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1DACD1AC">
            <w:pPr>
              <w:shd w:val="clear" w:color="auto" w:fill="FFFFFF"/>
              <w:adjustRightInd w:val="0"/>
              <w:snapToGrid w:val="0"/>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5.其他法律法规规章文件规定应履行的责任。</w:t>
            </w:r>
          </w:p>
        </w:tc>
        <w:tc>
          <w:tcPr>
            <w:tcW w:w="2205" w:type="dxa"/>
            <w:noWrap w:val="0"/>
            <w:vAlign w:val="center"/>
          </w:tcPr>
          <w:p w14:paraId="25086077">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1、【地方性法规】《宁夏回族自治区土地管理条例》（2012年修正）</w:t>
            </w:r>
          </w:p>
          <w:p w14:paraId="4F9EE841">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第二十八条第一款 禁止任何单位和个人闲置、撂荒耕地。已经批准的非农业建设占用耕地，一年内不用而又可以耕种收获的，应当暂借给原耕种该幅耕地的集体经济组织或者个人继续耕种，也可以由用地单位组织耕种；一年以上未动工建设而闲置未用的，由县级以上人民政府土地行政主管部门征收土地闲置费并限期开发利用；未经原批准机关同意，连续二年未利用的，经原批准机关批准，无偿收回用地单位的土地使用权；该幅土地属农民集体所有未经征用的耕地，应当由原农村集体经济组织恢复耕种。</w:t>
            </w:r>
          </w:p>
          <w:p w14:paraId="40F42FB7">
            <w:pPr>
              <w:adjustRightInd w:val="0"/>
              <w:snapToGrid w:val="0"/>
              <w:spacing w:line="260" w:lineRule="exact"/>
              <w:rPr>
                <w:rFonts w:ascii="仿宋_GB2312" w:eastAsia="仿宋_GB2312" w:cs="仿宋_GB2312"/>
                <w:sz w:val="18"/>
                <w:szCs w:val="18"/>
                <w:highlight w:val="none"/>
              </w:rPr>
            </w:pPr>
            <w:r>
              <w:rPr>
                <w:rFonts w:hint="eastAsia" w:ascii="仿宋_GB2312" w:eastAsia="仿宋_GB2312" w:cs="仿宋_GB2312"/>
                <w:sz w:val="18"/>
                <w:szCs w:val="18"/>
                <w:highlight w:val="none"/>
              </w:rPr>
              <w:t>2、【部门规章】《闲置土地处置办法》（2012年国土资源部令第53号修订）</w:t>
            </w:r>
          </w:p>
          <w:p w14:paraId="291E1440">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第十四条 除本办法第八条规定情形外，闲置土地按照下列方式处理：</w:t>
            </w:r>
          </w:p>
          <w:p w14:paraId="44C14EFB">
            <w:pPr>
              <w:adjustRightInd w:val="0"/>
              <w:snapToGrid w:val="0"/>
              <w:spacing w:line="260" w:lineRule="exact"/>
              <w:ind w:firstLine="360" w:firstLineChars="200"/>
              <w:rPr>
                <w:rFonts w:ascii="仿宋_GB2312" w:eastAsia="仿宋_GB2312" w:cs="仿宋_GB2312"/>
                <w:sz w:val="18"/>
                <w:szCs w:val="18"/>
                <w:highlight w:val="none"/>
              </w:rPr>
            </w:pPr>
            <w:r>
              <w:rPr>
                <w:rFonts w:hint="eastAsia" w:ascii="仿宋_GB2312" w:eastAsia="仿宋_GB2312" w:cs="仿宋_GB2312"/>
                <w:sz w:val="18"/>
                <w:szCs w:val="18"/>
                <w:highlight w:val="none"/>
              </w:rPr>
              <w:t>（一）未动工开发满一年的，由市、县国土资源主管部门报经本级人民政府批准后，向国有建设用地使用权人下达《征缴土地闲置费决定书》，按照土地出让或者划拨价款的百分之二十征缴土地闲置费。土地闲置费不得列入生产成本；</w:t>
            </w:r>
          </w:p>
          <w:p w14:paraId="1FA0D118">
            <w:pPr>
              <w:adjustRightInd w:val="0"/>
              <w:snapToGrid w:val="0"/>
              <w:jc w:val="left"/>
              <w:rPr>
                <w:rFonts w:hint="eastAsia" w:ascii="仿宋_GB2312" w:hAnsi="仿宋_GB2312" w:eastAsia="仿宋_GB2312" w:cs="仿宋_GB2312"/>
                <w:kern w:val="2"/>
                <w:sz w:val="18"/>
                <w:szCs w:val="18"/>
                <w:highlight w:val="none"/>
                <w:lang w:val="en-US" w:eastAsia="zh-CN" w:bidi="ar-SA"/>
              </w:rPr>
            </w:pPr>
            <w:r>
              <w:rPr>
                <w:rFonts w:hint="eastAsia" w:ascii="仿宋_GB2312" w:eastAsia="仿宋_GB2312" w:cs="仿宋_GB2312"/>
                <w:sz w:val="18"/>
                <w:szCs w:val="18"/>
                <w:highlight w:val="none"/>
              </w:rPr>
              <w:t>（二）未动工开发满两年的，由市、县国土资源主管部门按照《中华人民共和国土地管理法》第三十七条和《中华人民共和国城市房地产管理法》第二十六条的规定，报经有批</w:t>
            </w:r>
            <w:r>
              <w:rPr>
                <w:rFonts w:hint="eastAsia" w:ascii="仿宋_GB2312" w:hAnsi="宋体" w:eastAsia="仿宋_GB2312"/>
                <w:sz w:val="18"/>
                <w:szCs w:val="18"/>
                <w:highlight w:val="none"/>
              </w:rPr>
              <w:t>准权的人民政府批准后，向国有建设用地使用权人下达《收回国有建设用地使用权决定书》，无偿收回国有建设用地使用权。闲置土地设有抵押权的，同时抄送相关土地抵押权人。</w:t>
            </w:r>
          </w:p>
        </w:tc>
        <w:tc>
          <w:tcPr>
            <w:tcW w:w="1095" w:type="dxa"/>
            <w:noWrap w:val="0"/>
            <w:vAlign w:val="center"/>
          </w:tcPr>
          <w:p w14:paraId="571DCB32">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6EC3914B">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1.没有法定依据实施征收的；</w:t>
            </w:r>
          </w:p>
          <w:p w14:paraId="73E4940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2.擅自改变征收项目的范围、标准、对象和期限的；</w:t>
            </w:r>
          </w:p>
          <w:p w14:paraId="6FA7552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3.截留、挪用、坐支或者私分征收款物的；</w:t>
            </w:r>
          </w:p>
          <w:p w14:paraId="09C624FA">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4.不使用法定部门制发的专用征收票据的；</w:t>
            </w:r>
          </w:p>
          <w:p w14:paraId="77AA139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kern w:val="0"/>
                <w:sz w:val="18"/>
                <w:szCs w:val="18"/>
                <w:highlight w:val="none"/>
              </w:rPr>
              <w:t>5.滥用职权、玩忽职守、徇私舞弊的；</w:t>
            </w:r>
          </w:p>
          <w:p w14:paraId="75D20F25">
            <w:pPr>
              <w:widowControl/>
              <w:adjustRightInd w:val="0"/>
              <w:snapToGrid w:val="0"/>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6.未按裁量权规定，滥用裁量权的；</w:t>
            </w:r>
          </w:p>
          <w:p w14:paraId="4608EF14">
            <w:pPr>
              <w:widowControl/>
              <w:adjustRightInd w:val="0"/>
              <w:snapToGrid w:val="0"/>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7.侵害公民、法人或者其他组织合法权益造成损失的；</w:t>
            </w:r>
          </w:p>
          <w:p w14:paraId="39DB45A2">
            <w:pPr>
              <w:shd w:val="clear" w:color="auto" w:fill="FFFFFF"/>
              <w:adjustRightInd w:val="0"/>
              <w:snapToGrid w:val="0"/>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8.其他违反法律法规规章文件规定的行为。</w:t>
            </w:r>
          </w:p>
        </w:tc>
        <w:tc>
          <w:tcPr>
            <w:tcW w:w="2085" w:type="dxa"/>
            <w:noWrap w:val="0"/>
            <w:vAlign w:val="center"/>
          </w:tcPr>
          <w:p w14:paraId="770C180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1.《宁夏回族自治区行政责任追究办法》第十八条“行政机关及其工作人员在实施行政征收过程中有下列情形之一的，应当追究其行政责任：（一）没有法定依据实施征收的；”</w:t>
            </w:r>
          </w:p>
          <w:p w14:paraId="7137C268">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2.《宁夏回族自治区行政责任追究办法》第十八条“行政机关及其工作人员在实施行政征收过程中有下列情形之一的，应当追究其行政责任：（二）擅自改变征收项目的范围、标准、对象和期限的；”</w:t>
            </w:r>
          </w:p>
          <w:p w14:paraId="239BDDA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3.《宁夏回族自治区行政责任追究办法》第十八条“（三）截留、挪用、坐支或者私分征收款物的；</w:t>
            </w:r>
          </w:p>
          <w:p w14:paraId="325DBF6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4.《宁夏回族自治区行政责任追究办法》第十八条“（四）不使用法定部门制发的专用征收票据的；</w:t>
            </w:r>
          </w:p>
          <w:p w14:paraId="062B721B">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40EC1FCF">
            <w:pPr>
              <w:adjustRightInd w:val="0"/>
              <w:snapToGrid w:val="0"/>
              <w:ind w:left="-80" w:leftChars="-38" w:right="-86" w:rightChars="-41"/>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6.《宁夏回族自治区行政程序规定》第一百一十三条“行政机关及其工作人员违反本规定，有下列情形之一的，依照国家和自治区有关规定追究责任：…（六）不按照行政裁量权基准进行裁量的；…”</w:t>
            </w:r>
          </w:p>
          <w:p w14:paraId="2AFD133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21"/>
                <w:szCs w:val="21"/>
                <w:highlight w:val="none"/>
              </w:rPr>
              <w:t>7.《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4070D55">
            <w:pPr>
              <w:shd w:val="clear" w:color="auto" w:fill="FFFFFF"/>
              <w:adjustRightInd w:val="0"/>
              <w:snapToGrid w:val="0"/>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8.《宁夏回族自治区行政责任追究办法》第十八条“（五）其他违法实施行政征收的情形。</w:t>
            </w:r>
          </w:p>
        </w:tc>
        <w:tc>
          <w:tcPr>
            <w:tcW w:w="1665" w:type="dxa"/>
            <w:noWrap w:val="0"/>
            <w:vAlign w:val="center"/>
          </w:tcPr>
          <w:p w14:paraId="7078F0D2">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1C824D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149C551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1551538">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28DF72C8">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12662A07">
            <w:pPr>
              <w:shd w:val="clear" w:color="auto" w:fill="FFFFFF"/>
              <w:adjustRightInd w:val="0"/>
              <w:snapToGrid w:val="0"/>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5.其他法律法规规章文件规定的责任承担方式。</w:t>
            </w:r>
          </w:p>
        </w:tc>
        <w:tc>
          <w:tcPr>
            <w:tcW w:w="2507" w:type="dxa"/>
            <w:noWrap w:val="0"/>
            <w:vAlign w:val="center"/>
          </w:tcPr>
          <w:p w14:paraId="4F3C849A">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AFBFF0B">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4B55712">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3D89D563">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220FD006">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39B98113">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lang w:val="en-US" w:eastAsia="zh-CN"/>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601625A">
            <w:pPr>
              <w:shd w:val="clear" w:color="auto" w:fill="FFFFFF"/>
              <w:adjustRightInd w:val="0"/>
              <w:snapToGrid w:val="0"/>
              <w:rPr>
                <w:rFonts w:hint="eastAsia" w:ascii="仿宋_GB2312" w:hAnsi="仿宋_GB2312" w:eastAsia="仿宋_GB2312" w:cs="仿宋_GB2312"/>
                <w:color w:val="0000CC"/>
                <w:kern w:val="2"/>
                <w:sz w:val="18"/>
                <w:szCs w:val="18"/>
                <w:highlight w:val="none"/>
                <w:lang w:val="en-US" w:eastAsia="zh-CN" w:bidi="ar-SA"/>
              </w:rPr>
            </w:pPr>
          </w:p>
        </w:tc>
      </w:tr>
      <w:tr w14:paraId="5907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456357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3</w:t>
            </w:r>
          </w:p>
        </w:tc>
        <w:tc>
          <w:tcPr>
            <w:tcW w:w="642" w:type="dxa"/>
            <w:noWrap w:val="0"/>
            <w:vAlign w:val="center"/>
          </w:tcPr>
          <w:p w14:paraId="5E41E800">
            <w:pPr>
              <w:jc w:val="both"/>
              <w:rPr>
                <w:highlight w:val="none"/>
              </w:rPr>
            </w:pPr>
            <w:r>
              <w:rPr>
                <w:rFonts w:hint="eastAsia" w:ascii="仿宋_GB2312" w:hAnsi="宋体" w:eastAsia="仿宋_GB2312" w:cs="宋体"/>
                <w:color w:val="auto"/>
                <w:kern w:val="0"/>
                <w:sz w:val="18"/>
                <w:szCs w:val="18"/>
                <w:highlight w:val="none"/>
              </w:rPr>
              <w:t>土地复垦费征收</w:t>
            </w:r>
          </w:p>
        </w:tc>
        <w:tc>
          <w:tcPr>
            <w:tcW w:w="675" w:type="dxa"/>
            <w:noWrap w:val="0"/>
            <w:vAlign w:val="center"/>
          </w:tcPr>
          <w:p w14:paraId="34A0C71C">
            <w:pPr>
              <w:jc w:val="both"/>
              <w:rPr>
                <w:rFonts w:hint="eastAsia" w:ascii="仿宋_GB2312" w:hAnsi="仿宋_GB2312" w:eastAsia="仿宋_GB2312" w:cs="仿宋_GB2312"/>
                <w:sz w:val="18"/>
                <w:szCs w:val="18"/>
                <w:highlight w:val="none"/>
                <w:vertAlign w:val="baseline"/>
                <w:lang w:val="en-US" w:eastAsia="zh-CN"/>
              </w:rPr>
            </w:pPr>
          </w:p>
        </w:tc>
        <w:tc>
          <w:tcPr>
            <w:tcW w:w="630" w:type="dxa"/>
            <w:noWrap w:val="0"/>
            <w:vAlign w:val="center"/>
          </w:tcPr>
          <w:p w14:paraId="04DDC00C">
            <w:pPr>
              <w:jc w:val="center"/>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0412006000</w:t>
            </w:r>
          </w:p>
        </w:tc>
        <w:tc>
          <w:tcPr>
            <w:tcW w:w="2130" w:type="dxa"/>
            <w:noWrap w:val="0"/>
            <w:vAlign w:val="center"/>
          </w:tcPr>
          <w:p w14:paraId="67E14B6F">
            <w:pPr>
              <w:adjustRightInd w:val="0"/>
              <w:snapToGrid w:val="0"/>
              <w:spacing w:line="270" w:lineRule="exact"/>
              <w:ind w:firstLine="360" w:firstLineChars="200"/>
              <w:rPr>
                <w:rFonts w:hint="eastAsia" w:ascii="仿宋_GB2312" w:hAnsi="宋体" w:eastAsia="仿宋_GB2312" w:cs="仿宋_GB2312"/>
                <w:color w:val="000000"/>
                <w:sz w:val="18"/>
                <w:szCs w:val="18"/>
                <w:highlight w:val="none"/>
              </w:rPr>
            </w:pPr>
          </w:p>
          <w:p w14:paraId="18144770">
            <w:pPr>
              <w:adjustRightInd w:val="0"/>
              <w:snapToGrid w:val="0"/>
              <w:spacing w:line="270" w:lineRule="exact"/>
              <w:ind w:firstLine="360" w:firstLineChars="200"/>
              <w:rPr>
                <w:rFonts w:ascii="仿宋_GB2312" w:hAnsi="宋体" w:eastAsia="仿宋_GB2312" w:cs="仿宋_GB2312"/>
                <w:color w:val="0000FF"/>
                <w:sz w:val="18"/>
                <w:szCs w:val="18"/>
                <w:highlight w:val="none"/>
              </w:rPr>
            </w:pPr>
            <w:r>
              <w:rPr>
                <w:rFonts w:hint="eastAsia" w:ascii="仿宋_GB2312" w:hAnsi="宋体" w:eastAsia="仿宋_GB2312" w:cs="仿宋_GB2312"/>
                <w:color w:val="000000"/>
                <w:sz w:val="18"/>
                <w:szCs w:val="18"/>
                <w:highlight w:val="none"/>
              </w:rPr>
              <w:t>【法律】《中华人民共和国土地管理法》</w:t>
            </w:r>
            <w:r>
              <w:rPr>
                <w:rFonts w:hint="eastAsia" w:ascii="仿宋_GB2312" w:hAnsi="宋体" w:eastAsia="仿宋_GB2312" w:cs="仿宋_GB2312"/>
                <w:color w:val="0000FF"/>
                <w:sz w:val="18"/>
                <w:szCs w:val="18"/>
                <w:highlight w:val="none"/>
              </w:rPr>
              <w:t>（20</w:t>
            </w:r>
            <w:r>
              <w:rPr>
                <w:rFonts w:hint="eastAsia" w:ascii="仿宋_GB2312" w:hAnsi="宋体" w:eastAsia="仿宋_GB2312" w:cs="仿宋_GB2312"/>
                <w:color w:val="0000FF"/>
                <w:sz w:val="18"/>
                <w:szCs w:val="18"/>
                <w:highlight w:val="none"/>
                <w:lang w:val="en-US" w:eastAsia="zh-CN"/>
              </w:rPr>
              <w:t>19</w:t>
            </w:r>
            <w:r>
              <w:rPr>
                <w:rFonts w:hint="eastAsia" w:ascii="仿宋_GB2312" w:hAnsi="宋体" w:eastAsia="仿宋_GB2312" w:cs="仿宋_GB2312"/>
                <w:color w:val="0000FF"/>
                <w:sz w:val="18"/>
                <w:szCs w:val="18"/>
                <w:highlight w:val="none"/>
              </w:rPr>
              <w:t>年修正）</w:t>
            </w:r>
          </w:p>
          <w:p w14:paraId="0C0B453D">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FF"/>
                <w:sz w:val="18"/>
                <w:szCs w:val="18"/>
                <w:highlight w:val="none"/>
              </w:rPr>
              <w:t>第四十</w:t>
            </w:r>
            <w:r>
              <w:rPr>
                <w:rFonts w:hint="eastAsia" w:ascii="仿宋_GB2312" w:hAnsi="宋体" w:eastAsia="仿宋_GB2312" w:cs="仿宋_GB2312"/>
                <w:color w:val="0000FF"/>
                <w:sz w:val="18"/>
                <w:szCs w:val="18"/>
                <w:highlight w:val="none"/>
                <w:lang w:eastAsia="zh-CN"/>
              </w:rPr>
              <w:t>三</w:t>
            </w:r>
            <w:r>
              <w:rPr>
                <w:rFonts w:hint="eastAsia" w:ascii="仿宋_GB2312" w:hAnsi="宋体" w:eastAsia="仿宋_GB2312" w:cs="仿宋_GB2312"/>
                <w:color w:val="0000FF"/>
                <w:sz w:val="18"/>
                <w:szCs w:val="18"/>
                <w:highlight w:val="none"/>
              </w:rPr>
              <w:t>条</w:t>
            </w:r>
            <w:r>
              <w:rPr>
                <w:rFonts w:hint="eastAsia" w:ascii="仿宋_GB2312" w:hAnsi="宋体" w:eastAsia="仿宋_GB2312" w:cs="仿宋_GB2312"/>
                <w:color w:val="000000"/>
                <w:sz w:val="18"/>
                <w:szCs w:val="18"/>
                <w:highlight w:val="none"/>
              </w:rPr>
              <w:t xml:space="preserve"> 因挖损、塌陷、压占等造成土地破坏，用地单位和个人应当按照国家有关规定负责复垦；没有条件复垦或者复垦不符合要求的，应当缴纳土地复垦费，专项用于土地复垦。复垦的土地应当优先用于农业。</w:t>
            </w:r>
          </w:p>
          <w:p w14:paraId="4EC62FEF">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【行政法规】《土地复垦条例》（2011年国务院令第592号）</w:t>
            </w:r>
          </w:p>
          <w:p w14:paraId="71760E74">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第十五条 土地复垦义务人应当将土地复垦费用列入生产成本或者建设项目总投资。</w:t>
            </w:r>
          </w:p>
          <w:p w14:paraId="1CE18D43">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第十八条第一款 土地复垦义务人不复垦，或者复垦验收中经整改仍不合格的，应当缴纳土地复垦费，由有关国土资源主管部门代为组织复垦。</w:t>
            </w:r>
          </w:p>
          <w:p w14:paraId="1C6A9E60">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【地方性法规】《宁夏回族自治区土地管理条例》（2012年修正）</w:t>
            </w:r>
          </w:p>
          <w:p w14:paraId="393A6B57">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第三十六条第一款 在生产建设过程中，因挖损、塌陷、压占等造成土地破坏，能够复垦的，用地单位和个人应当按照国家和自治区有关规定负责复垦；没有能力复垦或者经验收没有达到规定要求的，应当根据破坏土地的面积和破坏程度，由县级以上人民政府土地行政主管部门按照自治区规定的标准征收土地复垦费，并组织复垦。复垦的土地应当优先用于农业。</w:t>
            </w:r>
          </w:p>
          <w:p w14:paraId="55E54CC6">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【部门规章】《土地复垦条例实施办法》（</w:t>
            </w:r>
            <w:r>
              <w:rPr>
                <w:rFonts w:hint="eastAsia" w:ascii="仿宋_GB2312" w:hAnsi="宋体" w:eastAsia="仿宋_GB2312" w:cs="仿宋_GB2312"/>
                <w:color w:val="0000FF"/>
                <w:sz w:val="18"/>
                <w:szCs w:val="18"/>
                <w:highlight w:val="none"/>
              </w:rPr>
              <w:t>201</w:t>
            </w:r>
            <w:r>
              <w:rPr>
                <w:rFonts w:hint="eastAsia" w:ascii="仿宋_GB2312" w:hAnsi="宋体" w:eastAsia="仿宋_GB2312" w:cs="仿宋_GB2312"/>
                <w:color w:val="0000FF"/>
                <w:sz w:val="18"/>
                <w:szCs w:val="18"/>
                <w:highlight w:val="none"/>
                <w:lang w:val="en-US" w:eastAsia="zh-CN"/>
              </w:rPr>
              <w:t>9</w:t>
            </w:r>
            <w:r>
              <w:rPr>
                <w:rFonts w:hint="eastAsia" w:ascii="仿宋_GB2312" w:hAnsi="宋体" w:eastAsia="仿宋_GB2312" w:cs="仿宋_GB2312"/>
                <w:color w:val="000000"/>
                <w:sz w:val="18"/>
                <w:szCs w:val="18"/>
                <w:highlight w:val="none"/>
              </w:rPr>
              <w:t>年国土资源部令第56号）</w:t>
            </w:r>
          </w:p>
          <w:p w14:paraId="2DAA63B4">
            <w:pPr>
              <w:adjustRightInd w:val="0"/>
              <w:snapToGrid w:val="0"/>
              <w:jc w:val="left"/>
              <w:rPr>
                <w:rFonts w:hint="eastAsia"/>
                <w:highlight w:val="none"/>
                <w:lang w:val="en-US" w:eastAsia="zh-CN"/>
              </w:rPr>
            </w:pPr>
            <w:r>
              <w:rPr>
                <w:rFonts w:hint="eastAsia" w:ascii="仿宋_GB2312" w:hAnsi="宋体" w:eastAsia="仿宋_GB2312" w:cs="仿宋_GB2312"/>
                <w:color w:val="000000"/>
                <w:sz w:val="18"/>
                <w:szCs w:val="18"/>
                <w:highlight w:val="none"/>
              </w:rPr>
              <w:t>第十六条</w:t>
            </w:r>
            <w:r>
              <w:rPr>
                <w:rFonts w:ascii="仿宋_GB2312" w:hAnsi="宋体" w:eastAsia="仿宋_GB2312" w:cs="仿宋_GB2312"/>
                <w:color w:val="000000"/>
                <w:sz w:val="18"/>
                <w:szCs w:val="18"/>
                <w:highlight w:val="none"/>
              </w:rPr>
              <w:t>第一款</w:t>
            </w:r>
            <w:r>
              <w:rPr>
                <w:rFonts w:hint="eastAsia" w:ascii="仿宋_GB2312" w:hAnsi="宋体" w:eastAsia="仿宋_GB2312" w:cs="仿宋_GB2312"/>
                <w:color w:val="000000"/>
                <w:sz w:val="18"/>
                <w:szCs w:val="18"/>
                <w:highlight w:val="none"/>
              </w:rPr>
              <w:t xml:space="preserve"> 土地复垦义务人应当按照条例第十五条规定的要求，与损毁土地所在地县级国土资源主管部门在双方约定的银行建立土地复垦费用专门账户，按照土地复垦方案确定的资金数额，在土地复垦费用专门账户中足额预存土地复垦费用</w:t>
            </w:r>
          </w:p>
        </w:tc>
        <w:tc>
          <w:tcPr>
            <w:tcW w:w="615" w:type="dxa"/>
            <w:noWrap w:val="0"/>
            <w:vAlign w:val="center"/>
          </w:tcPr>
          <w:p w14:paraId="7CF5EB5B">
            <w:pPr>
              <w:jc w:val="both"/>
              <w:rPr>
                <w:rFonts w:hint="eastAsia" w:ascii="仿宋_GB2312" w:hAnsi="仿宋_GB2312" w:eastAsia="仿宋_GB2312" w:cs="仿宋_GB2312"/>
                <w:sz w:val="18"/>
                <w:szCs w:val="18"/>
                <w:highlight w:val="none"/>
                <w:vertAlign w:val="baseline"/>
                <w:lang w:val="en-US" w:eastAsia="zh-CN"/>
              </w:rPr>
            </w:pPr>
          </w:p>
        </w:tc>
        <w:tc>
          <w:tcPr>
            <w:tcW w:w="1260" w:type="dxa"/>
            <w:noWrap w:val="0"/>
            <w:vAlign w:val="center"/>
          </w:tcPr>
          <w:p w14:paraId="61FFF187">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1.受理责任：公示依法应当公示的材料，一次性告知需要补正的材料，依法受理或不予受理（不予受理应当告知理由）。</w:t>
            </w:r>
          </w:p>
          <w:p w14:paraId="7BA55767">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2.审核责任：按照法定程序和条件，对提交材料进行审查，提出审核意见。</w:t>
            </w:r>
          </w:p>
          <w:p w14:paraId="0B84EAC0">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3.决定责任：作出征收或者不予征收的决定；不予征收的，应当书面通知申请人。</w:t>
            </w:r>
          </w:p>
          <w:p w14:paraId="1072A963">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4.事后监管责任：建立实施监督检查的管理制度和机制，开展定期和不定期检查，依法采取相关处置措施。</w:t>
            </w:r>
          </w:p>
          <w:p w14:paraId="76F483B6">
            <w:pPr>
              <w:shd w:val="clear" w:color="auto" w:fill="FFFFFF"/>
              <w:adjustRightInd w:val="0"/>
              <w:snapToGrid w:val="0"/>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color w:val="000000"/>
                <w:sz w:val="18"/>
                <w:szCs w:val="18"/>
                <w:highlight w:val="none"/>
              </w:rPr>
              <w:t>5.其他法律法规规章文件规定应履行的责任。</w:t>
            </w:r>
          </w:p>
        </w:tc>
        <w:tc>
          <w:tcPr>
            <w:tcW w:w="2205" w:type="dxa"/>
            <w:noWrap w:val="0"/>
            <w:vAlign w:val="center"/>
          </w:tcPr>
          <w:p w14:paraId="5FE0B408">
            <w:pPr>
              <w:adjustRightInd w:val="0"/>
              <w:snapToGrid w:val="0"/>
              <w:spacing w:line="270" w:lineRule="exact"/>
              <w:rPr>
                <w:rFonts w:ascii="仿宋_GB2312" w:hAnsi="宋体" w:eastAsia="仿宋_GB2312" w:cs="仿宋_GB2312"/>
                <w:color w:val="0000FF"/>
                <w:sz w:val="18"/>
                <w:szCs w:val="18"/>
                <w:highlight w:val="none"/>
              </w:rPr>
            </w:pPr>
            <w:r>
              <w:rPr>
                <w:rFonts w:hint="eastAsia" w:ascii="仿宋_GB2312" w:hAnsi="宋体" w:eastAsia="仿宋_GB2312" w:cs="仿宋_GB2312"/>
                <w:color w:val="000000"/>
                <w:sz w:val="18"/>
                <w:szCs w:val="18"/>
                <w:highlight w:val="none"/>
              </w:rPr>
              <w:t>1、【法律】《中华人民共和国土地管理法》</w:t>
            </w:r>
            <w:r>
              <w:rPr>
                <w:rFonts w:hint="eastAsia" w:ascii="仿宋_GB2312" w:hAnsi="宋体" w:eastAsia="仿宋_GB2312" w:cs="仿宋_GB2312"/>
                <w:color w:val="0000FF"/>
                <w:sz w:val="18"/>
                <w:szCs w:val="18"/>
                <w:highlight w:val="none"/>
              </w:rPr>
              <w:t>（20</w:t>
            </w:r>
            <w:r>
              <w:rPr>
                <w:rFonts w:hint="eastAsia" w:ascii="仿宋_GB2312" w:hAnsi="宋体" w:eastAsia="仿宋_GB2312" w:cs="仿宋_GB2312"/>
                <w:color w:val="0000FF"/>
                <w:sz w:val="18"/>
                <w:szCs w:val="18"/>
                <w:highlight w:val="none"/>
                <w:lang w:val="en-US" w:eastAsia="zh-CN"/>
              </w:rPr>
              <w:t>19</w:t>
            </w:r>
            <w:r>
              <w:rPr>
                <w:rFonts w:hint="eastAsia" w:ascii="仿宋_GB2312" w:hAnsi="宋体" w:eastAsia="仿宋_GB2312" w:cs="仿宋_GB2312"/>
                <w:color w:val="0000FF"/>
                <w:sz w:val="18"/>
                <w:szCs w:val="18"/>
                <w:highlight w:val="none"/>
              </w:rPr>
              <w:t>年修正）</w:t>
            </w:r>
          </w:p>
          <w:p w14:paraId="502AC576">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FF"/>
                <w:sz w:val="18"/>
                <w:szCs w:val="18"/>
                <w:highlight w:val="none"/>
              </w:rPr>
              <w:t>第四十</w:t>
            </w:r>
            <w:r>
              <w:rPr>
                <w:rFonts w:hint="eastAsia" w:ascii="仿宋_GB2312" w:hAnsi="宋体" w:eastAsia="仿宋_GB2312" w:cs="仿宋_GB2312"/>
                <w:color w:val="0000FF"/>
                <w:sz w:val="18"/>
                <w:szCs w:val="18"/>
                <w:highlight w:val="none"/>
                <w:lang w:eastAsia="zh-CN"/>
              </w:rPr>
              <w:t>三</w:t>
            </w:r>
            <w:r>
              <w:rPr>
                <w:rFonts w:hint="eastAsia" w:ascii="仿宋_GB2312" w:hAnsi="宋体" w:eastAsia="仿宋_GB2312" w:cs="仿宋_GB2312"/>
                <w:color w:val="0000FF"/>
                <w:sz w:val="18"/>
                <w:szCs w:val="18"/>
                <w:highlight w:val="none"/>
              </w:rPr>
              <w:t xml:space="preserve">条 </w:t>
            </w:r>
            <w:r>
              <w:rPr>
                <w:rFonts w:hint="eastAsia" w:ascii="仿宋_GB2312" w:hAnsi="宋体" w:eastAsia="仿宋_GB2312" w:cs="仿宋_GB2312"/>
                <w:color w:val="000000"/>
                <w:sz w:val="18"/>
                <w:szCs w:val="18"/>
                <w:highlight w:val="none"/>
              </w:rPr>
              <w:t>因挖损、塌陷、压占等造成土地破坏，用地单位和个人应当按照国家有关规定负责复垦；没有条件复垦或者复垦不符合要求的，应当缴纳土地复垦费，专项用于土地复垦。复垦的土地应当优先用于农业。</w:t>
            </w:r>
          </w:p>
          <w:p w14:paraId="17A5EAD8">
            <w:pPr>
              <w:adjustRightInd w:val="0"/>
              <w:snapToGrid w:val="0"/>
              <w:spacing w:line="270" w:lineRule="exact"/>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2、【行政法规】《土地复垦条例》（2011年国务院令第592号）</w:t>
            </w:r>
          </w:p>
          <w:p w14:paraId="2B67C129">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第十五条 土地复垦义务人应当将土地复垦费用列入生产成本或者建设项目总投资。</w:t>
            </w:r>
          </w:p>
          <w:p w14:paraId="1A6A1ADE">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第十八条第一款 土地复垦义务人不复垦，或者复垦验收中经整改仍不合格的，应当缴纳土地复垦费，由有关国土资源主管部门代为组织复垦。</w:t>
            </w:r>
          </w:p>
          <w:p w14:paraId="479C87AB">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3、【地方性法规】《宁夏回族自治区土地管理条例》（2012年修正）</w:t>
            </w:r>
          </w:p>
          <w:p w14:paraId="706BD757">
            <w:pPr>
              <w:adjustRightInd w:val="0"/>
              <w:snapToGrid w:val="0"/>
              <w:spacing w:line="270" w:lineRule="exact"/>
              <w:ind w:firstLine="360" w:firstLineChars="200"/>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第三十六条第一款 在生产建设过程中，因挖损、塌陷、压占等造成土地破坏，能够复垦的，用地单位和个人应当按照国家和自治区有关规定负责复垦；没有能力复垦或者经验收没有达到规定要求的，应当根据破坏土地的面积和破坏程度，由县级以上人民政府土地行政主管部门按照自治区规定的标准征收土地复垦费，并组织复垦。复垦的土地应当优先用于农业。</w:t>
            </w:r>
          </w:p>
          <w:p w14:paraId="13050B81">
            <w:pPr>
              <w:adjustRightInd w:val="0"/>
              <w:snapToGrid w:val="0"/>
              <w:spacing w:line="270" w:lineRule="exact"/>
              <w:rPr>
                <w:rFonts w:ascii="仿宋_GB2312" w:hAnsi="宋体" w:eastAsia="仿宋_GB2312" w:cs="仿宋_GB2312"/>
                <w:color w:val="000000"/>
                <w:sz w:val="18"/>
                <w:szCs w:val="18"/>
                <w:highlight w:val="none"/>
              </w:rPr>
            </w:pPr>
            <w:r>
              <w:rPr>
                <w:rFonts w:hint="eastAsia" w:ascii="仿宋_GB2312" w:hAnsi="宋体" w:eastAsia="仿宋_GB2312" w:cs="仿宋_GB2312"/>
                <w:color w:val="000000"/>
                <w:sz w:val="18"/>
                <w:szCs w:val="18"/>
                <w:highlight w:val="none"/>
              </w:rPr>
              <w:t>4、【部门规章】《土地复垦条例实施办法》（</w:t>
            </w:r>
            <w:r>
              <w:rPr>
                <w:rFonts w:hint="eastAsia" w:ascii="仿宋_GB2312" w:hAnsi="宋体" w:eastAsia="仿宋_GB2312" w:cs="仿宋_GB2312"/>
                <w:color w:val="0000FF"/>
                <w:sz w:val="18"/>
                <w:szCs w:val="18"/>
                <w:highlight w:val="none"/>
              </w:rPr>
              <w:t>201</w:t>
            </w:r>
            <w:r>
              <w:rPr>
                <w:rFonts w:hint="eastAsia" w:ascii="仿宋_GB2312" w:hAnsi="宋体" w:eastAsia="仿宋_GB2312" w:cs="仿宋_GB2312"/>
                <w:color w:val="0000FF"/>
                <w:sz w:val="18"/>
                <w:szCs w:val="18"/>
                <w:highlight w:val="none"/>
                <w:lang w:val="en-US" w:eastAsia="zh-CN"/>
              </w:rPr>
              <w:t>9</w:t>
            </w:r>
            <w:r>
              <w:rPr>
                <w:rFonts w:hint="eastAsia" w:ascii="仿宋_GB2312" w:hAnsi="宋体" w:eastAsia="仿宋_GB2312" w:cs="仿宋_GB2312"/>
                <w:color w:val="000000"/>
                <w:sz w:val="18"/>
                <w:szCs w:val="18"/>
                <w:highlight w:val="none"/>
              </w:rPr>
              <w:t>年国土资源部令第56号）</w:t>
            </w:r>
          </w:p>
          <w:p w14:paraId="6213510D">
            <w:pPr>
              <w:adjustRightInd w:val="0"/>
              <w:snapToGrid w:val="0"/>
              <w:jc w:val="left"/>
              <w:rPr>
                <w:rFonts w:hint="eastAsia" w:ascii="仿宋_GB2312" w:hAnsi="仿宋_GB2312" w:eastAsia="仿宋_GB2312" w:cs="仿宋_GB2312"/>
                <w:sz w:val="18"/>
                <w:szCs w:val="18"/>
                <w:highlight w:val="none"/>
                <w:vertAlign w:val="baseline"/>
                <w:lang w:val="en-US" w:eastAsia="zh-CN"/>
              </w:rPr>
            </w:pPr>
            <w:r>
              <w:rPr>
                <w:rFonts w:hint="eastAsia" w:ascii="仿宋_GB2312" w:hAnsi="宋体" w:eastAsia="仿宋_GB2312" w:cs="仿宋_GB2312"/>
                <w:color w:val="000000"/>
                <w:sz w:val="18"/>
                <w:szCs w:val="18"/>
                <w:highlight w:val="none"/>
              </w:rPr>
              <w:t>第十六条</w:t>
            </w:r>
            <w:r>
              <w:rPr>
                <w:rFonts w:ascii="仿宋_GB2312" w:hAnsi="宋体" w:eastAsia="仿宋_GB2312" w:cs="仿宋_GB2312"/>
                <w:color w:val="000000"/>
                <w:sz w:val="18"/>
                <w:szCs w:val="18"/>
                <w:highlight w:val="none"/>
              </w:rPr>
              <w:t>第一款</w:t>
            </w:r>
            <w:r>
              <w:rPr>
                <w:rFonts w:hint="eastAsia" w:ascii="仿宋_GB2312" w:hAnsi="宋体" w:eastAsia="仿宋_GB2312" w:cs="仿宋_GB2312"/>
                <w:color w:val="000000"/>
                <w:sz w:val="18"/>
                <w:szCs w:val="18"/>
                <w:highlight w:val="none"/>
              </w:rPr>
              <w:t xml:space="preserve"> 土地复垦义务人应当按照条例第十五条规定的要求，与损毁土地所在地县级国土资源主管部门在双方约定的银行建立土地复垦费用专门账户，按照土地复垦方案确定的资金数额，在土地复垦费用专门账户中足额预存土地复垦费用。</w:t>
            </w:r>
          </w:p>
        </w:tc>
        <w:tc>
          <w:tcPr>
            <w:tcW w:w="1095" w:type="dxa"/>
            <w:noWrap w:val="0"/>
            <w:vAlign w:val="center"/>
          </w:tcPr>
          <w:p w14:paraId="3DF47BAC">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因不履行或不正确履行行政职责，有下列情形的，行政机关及相关工作人员应承担相应责任：</w:t>
            </w:r>
          </w:p>
          <w:p w14:paraId="603F31B1">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1.没有法定依据实施征收的；</w:t>
            </w:r>
          </w:p>
          <w:p w14:paraId="5B84D9C1">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2.擅自改变征收项目的范围、标准、对象和期限的；</w:t>
            </w:r>
          </w:p>
          <w:p w14:paraId="39377CFF">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3.截留、挪用、坐支或者私分征收款物的；</w:t>
            </w:r>
          </w:p>
          <w:p w14:paraId="4565D069">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4.不使用法定部门制发的专用征收票据的；</w:t>
            </w:r>
          </w:p>
          <w:p w14:paraId="7153A59E">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rPr>
              <w:t>5.滥用职权、玩忽职守、徇私舞弊的；</w:t>
            </w:r>
          </w:p>
          <w:p w14:paraId="629CF90C">
            <w:pPr>
              <w:widowControl/>
              <w:adjustRightInd w:val="0"/>
              <w:snapToGrid w:val="0"/>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6.未按裁量权规定，滥用裁量权的；</w:t>
            </w:r>
          </w:p>
          <w:p w14:paraId="65998B2C">
            <w:pPr>
              <w:widowControl/>
              <w:adjustRightInd w:val="0"/>
              <w:snapToGrid w:val="0"/>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7.侵害公民、法人或者其他组织合法权益造成损失的；</w:t>
            </w:r>
          </w:p>
          <w:p w14:paraId="09184781">
            <w:pPr>
              <w:shd w:val="clear" w:color="auto" w:fill="FFFFFF"/>
              <w:adjustRightInd w:val="0"/>
              <w:snapToGrid w:val="0"/>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color w:val="000000"/>
                <w:sz w:val="18"/>
                <w:szCs w:val="18"/>
                <w:highlight w:val="none"/>
              </w:rPr>
              <w:t>8.其他违反法律法规规章文件规定的行为。</w:t>
            </w:r>
          </w:p>
        </w:tc>
        <w:tc>
          <w:tcPr>
            <w:tcW w:w="2085" w:type="dxa"/>
            <w:noWrap w:val="0"/>
            <w:vAlign w:val="center"/>
          </w:tcPr>
          <w:p w14:paraId="72897891">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1.《宁夏回族自治区行政责任追究办法》第十八条“行政机关及其工作人员在实施行政征收过程中有下列情形之一的，应当追究其行政责任：（一）没有法定依据实施征收的；”</w:t>
            </w:r>
          </w:p>
          <w:p w14:paraId="5C196400">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2.《宁夏回族自治区行政责任追究办法》第十八条“行政机关及其工作人员在实施行政征收过程中有下列情形之一的，应当追究其行政责任：（二）擅自改变征收项目的范围、标准、对象和期限的；”</w:t>
            </w:r>
          </w:p>
          <w:p w14:paraId="5327B20B">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3.《宁夏回族自治区行政责任追究办法》第十八条“（三）截留、挪用、坐支或者私分征收款物的；</w:t>
            </w:r>
          </w:p>
          <w:p w14:paraId="1B3BC3CE">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4.《宁夏回族自治区行政责任追究办法》第十八条“（四）不使用法定部门制发的专用征收票据的；</w:t>
            </w:r>
          </w:p>
          <w:p w14:paraId="4D100EB2">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7AD7708B">
            <w:pPr>
              <w:adjustRightInd w:val="0"/>
              <w:snapToGrid w:val="0"/>
              <w:ind w:left="-80" w:leftChars="-38" w:right="-86" w:rightChars="-41"/>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6.《宁夏回族自治区行政程序规定》第一百一十三条“行政机关及其工作人员违反本规定，有下列情形之一的，依照国家和自治区有关规定追究责任：…（六）不按照行政裁量权基准进行裁量的；…”</w:t>
            </w:r>
          </w:p>
          <w:p w14:paraId="037ED136">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7.《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CB40D3A">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8.《宁夏回族自治区行政责任追究办法》第十八条“（五）其他违法实施行政征收的情形。</w:t>
            </w:r>
          </w:p>
          <w:p w14:paraId="6F357492">
            <w:pPr>
              <w:shd w:val="clear" w:color="auto" w:fill="FFFFFF"/>
              <w:adjustRightInd w:val="0"/>
              <w:snapToGrid w:val="0"/>
              <w:rPr>
                <w:rFonts w:hint="eastAsia" w:ascii="仿宋_GB2312" w:hAnsi="仿宋_GB2312" w:eastAsia="仿宋_GB2312" w:cs="仿宋_GB2312"/>
                <w:sz w:val="18"/>
                <w:szCs w:val="18"/>
                <w:highlight w:val="none"/>
                <w:vertAlign w:val="baseline"/>
                <w:lang w:val="en-US" w:eastAsia="zh-CN"/>
              </w:rPr>
            </w:pPr>
          </w:p>
        </w:tc>
        <w:tc>
          <w:tcPr>
            <w:tcW w:w="1665" w:type="dxa"/>
            <w:noWrap w:val="0"/>
            <w:vAlign w:val="center"/>
          </w:tcPr>
          <w:p w14:paraId="15160462">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DE03ECF">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1.给予具体承办人责令作出书面检查、批评教育、取消年度评比先进资格、暂扣行政执法证件、离岗培训、调离工作岗位、取消行政执法资格以及处分等责任追究；</w:t>
            </w:r>
          </w:p>
          <w:p w14:paraId="655772E5">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80B6B51">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3.给予行政机关责令限期整改、通报批评、取消评比先进资格等责任追究；</w:t>
            </w:r>
          </w:p>
          <w:p w14:paraId="4760434C">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4.对违反党纪的工作人员（中共党员）给予党纪处分，对构成犯罪的工作人员，移交司法机关，依法追究刑事责任；</w:t>
            </w:r>
          </w:p>
          <w:p w14:paraId="7B74825F">
            <w:pPr>
              <w:shd w:val="clear" w:color="auto" w:fill="FFFFFF"/>
              <w:adjustRightInd w:val="0"/>
              <w:snapToGrid w:val="0"/>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color w:val="000000"/>
                <w:sz w:val="18"/>
                <w:szCs w:val="18"/>
                <w:highlight w:val="none"/>
              </w:rPr>
              <w:t>5.其他法律法规规章文件规定的责任承担方式。</w:t>
            </w:r>
          </w:p>
        </w:tc>
        <w:tc>
          <w:tcPr>
            <w:tcW w:w="2507" w:type="dxa"/>
            <w:noWrap w:val="0"/>
            <w:vAlign w:val="center"/>
          </w:tcPr>
          <w:p w14:paraId="2D16A739">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F875BBE">
            <w:pPr>
              <w:shd w:val="clear" w:color="auto" w:fill="FFFFFF"/>
              <w:adjustRightInd w:val="0"/>
              <w:snapToGrid w:val="0"/>
              <w:rPr>
                <w:rFonts w:hint="eastAsia" w:ascii="仿宋_GB2312" w:hAnsi="仿宋_GB2312" w:eastAsia="仿宋_GB2312" w:cs="仿宋_GB2312"/>
                <w:i w:val="0"/>
                <w:caps w:val="0"/>
                <w:color w:val="000000"/>
                <w:spacing w:val="0"/>
                <w:sz w:val="18"/>
                <w:szCs w:val="18"/>
                <w:highlight w:val="none"/>
                <w:shd w:val="clear" w:color="auto" w:fill="FFFFFF"/>
              </w:rPr>
            </w:pPr>
            <w:r>
              <w:rPr>
                <w:rFonts w:hint="eastAsia" w:ascii="仿宋_GB2312" w:hAnsi="仿宋_GB2312" w:eastAsia="仿宋_GB2312" w:cs="仿宋_GB2312"/>
                <w:color w:val="000000"/>
                <w:sz w:val="18"/>
                <w:szCs w:val="18"/>
                <w:highlight w:val="none"/>
              </w:rPr>
              <w:t>1-2《宁夏回族自治区行政执法监督条例》第二十六条</w:t>
            </w:r>
            <w:r>
              <w:rPr>
                <w:rFonts w:hint="eastAsia" w:ascii="仿宋_GB2312" w:hAnsi="仿宋_GB2312" w:eastAsia="仿宋_GB2312" w:cs="仿宋_GB2312"/>
                <w:i w:val="0"/>
                <w:caps w:val="0"/>
                <w:color w:val="000000"/>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000000"/>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000000"/>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000000"/>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000000"/>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E93AA83">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2.《宁夏回族自治区行政程序规定》第一百一十五条“（一）对行政机关的责任追究方式为：责令限期整改、通报批评、取消评比先进的资格等；</w:t>
            </w:r>
          </w:p>
          <w:p w14:paraId="68B0F135">
            <w:pPr>
              <w:shd w:val="clear" w:color="auto" w:fill="FFFFFF"/>
              <w:adjustRightInd w:val="0"/>
              <w:snapToGrid w:val="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lang w:val="en-US" w:eastAsia="zh-CN"/>
              </w:rPr>
              <w:t>3</w:t>
            </w:r>
            <w:r>
              <w:rPr>
                <w:rFonts w:hint="eastAsia" w:ascii="仿宋_GB2312" w:hAnsi="仿宋_GB2312" w:eastAsia="仿宋_GB2312" w:cs="仿宋_GB2312"/>
                <w:color w:val="000000"/>
                <w:sz w:val="18"/>
                <w:szCs w:val="18"/>
                <w:highlight w:val="none"/>
              </w:rPr>
              <w:t>.《中国共产党纪律处分条例》第</w:t>
            </w:r>
            <w:r>
              <w:rPr>
                <w:rFonts w:hint="eastAsia" w:ascii="仿宋_GB2312" w:hAnsi="仿宋_GB2312" w:eastAsia="仿宋_GB2312" w:cs="仿宋_GB2312"/>
                <w:color w:val="000000"/>
                <w:sz w:val="18"/>
                <w:szCs w:val="18"/>
                <w:highlight w:val="none"/>
                <w:lang w:eastAsia="zh-CN"/>
              </w:rPr>
              <w:t>八</w:t>
            </w:r>
            <w:r>
              <w:rPr>
                <w:rFonts w:hint="eastAsia" w:ascii="仿宋_GB2312" w:hAnsi="仿宋_GB2312" w:eastAsia="仿宋_GB2312" w:cs="仿宋_GB2312"/>
                <w:color w:val="000000"/>
                <w:sz w:val="18"/>
                <w:szCs w:val="18"/>
                <w:highlight w:val="none"/>
              </w:rPr>
              <w:t>条“对党员的纪律处分种类：（一）警告；（二）严重警告；（三）撤销党内职务；（四）留党察看；（五）开除党籍。”</w:t>
            </w:r>
          </w:p>
          <w:p w14:paraId="2798CC96">
            <w:pPr>
              <w:shd w:val="clear" w:color="auto" w:fill="FFFFFF"/>
              <w:adjustRightInd w:val="0"/>
              <w:snapToGrid w:val="0"/>
              <w:rPr>
                <w:rFonts w:hint="eastAsia" w:ascii="仿宋_GB2312" w:hAnsi="仿宋_GB2312" w:eastAsia="仿宋_GB2312" w:cs="仿宋_GB2312"/>
                <w:i w:val="0"/>
                <w:caps w:val="0"/>
                <w:color w:val="000000"/>
                <w:spacing w:val="0"/>
                <w:sz w:val="18"/>
                <w:szCs w:val="18"/>
                <w:highlight w:val="none"/>
                <w:shd w:val="clear" w:color="auto" w:fill="FFFFFF"/>
              </w:rPr>
            </w:pPr>
            <w:r>
              <w:rPr>
                <w:rFonts w:hint="eastAsia" w:ascii="仿宋_GB2312" w:hAnsi="仿宋_GB2312" w:eastAsia="仿宋_GB2312" w:cs="仿宋_GB2312"/>
                <w:color w:val="000000"/>
                <w:sz w:val="18"/>
                <w:szCs w:val="18"/>
                <w:highlight w:val="none"/>
                <w:lang w:val="en-US" w:eastAsia="zh-CN"/>
              </w:rPr>
              <w:t>4</w:t>
            </w:r>
            <w:r>
              <w:rPr>
                <w:rFonts w:hint="eastAsia" w:ascii="仿宋_GB2312" w:hAnsi="仿宋_GB2312" w:eastAsia="仿宋_GB2312" w:cs="仿宋_GB2312"/>
                <w:color w:val="000000"/>
                <w:sz w:val="18"/>
                <w:szCs w:val="18"/>
                <w:highlight w:val="none"/>
              </w:rPr>
              <w:t>.《行政机关公务员处分条例》第六条</w:t>
            </w:r>
            <w:r>
              <w:rPr>
                <w:rFonts w:hint="eastAsia" w:ascii="仿宋_GB2312" w:hAnsi="仿宋_GB2312" w:eastAsia="仿宋_GB2312" w:cs="仿宋_GB2312"/>
                <w:color w:val="000000"/>
                <w:sz w:val="18"/>
                <w:szCs w:val="18"/>
                <w:highlight w:val="none"/>
                <w:lang w:val="en-US" w:eastAsia="zh-CN"/>
              </w:rPr>
              <w:t xml:space="preserve"> </w:t>
            </w:r>
            <w:r>
              <w:rPr>
                <w:rFonts w:hint="eastAsia" w:ascii="仿宋_GB2312" w:hAnsi="仿宋_GB2312" w:eastAsia="仿宋_GB2312" w:cs="仿宋_GB2312"/>
                <w:i w:val="0"/>
                <w:caps w:val="0"/>
                <w:color w:val="000000"/>
                <w:spacing w:val="0"/>
                <w:sz w:val="18"/>
                <w:szCs w:val="18"/>
                <w:highlight w:val="none"/>
                <w:shd w:val="clear" w:color="auto" w:fill="FFFFFF"/>
              </w:rPr>
              <w:t>行政机关公务员处分的种类为：(一)警告;(二)记过;(三)记大过;(四)降级;(五)撤职;(六)开除。</w:t>
            </w:r>
          </w:p>
          <w:p w14:paraId="78E4481B">
            <w:pPr>
              <w:shd w:val="clear" w:color="auto" w:fill="FFFFFF"/>
              <w:adjustRightInd w:val="0"/>
              <w:snapToGrid w:val="0"/>
              <w:rPr>
                <w:rFonts w:hint="eastAsia" w:ascii="仿宋_GB2312" w:hAnsi="仿宋_GB2312" w:eastAsia="仿宋_GB2312" w:cs="仿宋_GB2312"/>
                <w:i w:val="0"/>
                <w:caps w:val="0"/>
                <w:color w:val="000000"/>
                <w:spacing w:val="0"/>
                <w:sz w:val="18"/>
                <w:szCs w:val="18"/>
                <w:highlight w:val="none"/>
                <w:shd w:val="clear" w:color="auto" w:fill="FFFFFF"/>
                <w:lang w:val="en-US" w:eastAsia="zh-CN"/>
              </w:rPr>
            </w:pPr>
            <w:r>
              <w:rPr>
                <w:rFonts w:hint="eastAsia" w:ascii="仿宋_GB2312" w:hAnsi="仿宋_GB2312" w:eastAsia="仿宋_GB2312" w:cs="仿宋_GB2312"/>
                <w:i w:val="0"/>
                <w:caps w:val="0"/>
                <w:color w:val="000000"/>
                <w:spacing w:val="0"/>
                <w:sz w:val="18"/>
                <w:szCs w:val="18"/>
                <w:highlight w:val="none"/>
                <w:shd w:val="clear" w:color="auto" w:fill="FFFFFF"/>
                <w:lang w:val="en-US" w:eastAsia="zh-CN"/>
              </w:rPr>
              <w:t>5.</w:t>
            </w:r>
            <w:r>
              <w:rPr>
                <w:rFonts w:hint="eastAsia" w:ascii="仿宋_GB2312" w:hAnsi="仿宋_GB2312" w:eastAsia="仿宋_GB2312" w:cs="仿宋_GB2312"/>
                <w:color w:val="000000"/>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7719670">
            <w:pPr>
              <w:shd w:val="clear" w:color="auto" w:fill="FFFFFF"/>
              <w:adjustRightInd w:val="0"/>
              <w:snapToGrid w:val="0"/>
              <w:rPr>
                <w:rFonts w:hint="eastAsia" w:ascii="仿宋_GB2312" w:hAnsi="仿宋_GB2312" w:eastAsia="仿宋_GB2312" w:cs="仿宋_GB2312"/>
                <w:sz w:val="18"/>
                <w:szCs w:val="18"/>
                <w:highlight w:val="none"/>
                <w:vertAlign w:val="baseline"/>
                <w:lang w:val="en-US" w:eastAsia="zh-CN"/>
              </w:rPr>
            </w:pPr>
          </w:p>
        </w:tc>
      </w:tr>
      <w:tr w14:paraId="3DF4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ED557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vertAlign w:val="baseline"/>
                <w:lang w:val="en-US" w:eastAsia="zh-CN"/>
              </w:rPr>
              <w:t>4</w:t>
            </w:r>
          </w:p>
        </w:tc>
        <w:tc>
          <w:tcPr>
            <w:tcW w:w="642" w:type="dxa"/>
            <w:noWrap w:val="0"/>
            <w:vAlign w:val="center"/>
          </w:tcPr>
          <w:p w14:paraId="7276B77D">
            <w:pPr>
              <w:adjustRightInd w:val="0"/>
              <w:snapToGrid w:val="0"/>
              <w:jc w:val="left"/>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森林植被恢复费征收</w:t>
            </w:r>
          </w:p>
        </w:tc>
        <w:tc>
          <w:tcPr>
            <w:tcW w:w="675" w:type="dxa"/>
            <w:noWrap w:val="0"/>
            <w:vAlign w:val="center"/>
          </w:tcPr>
          <w:p w14:paraId="73B4C701">
            <w:pPr>
              <w:jc w:val="both"/>
              <w:rPr>
                <w:rFonts w:hint="eastAsia" w:ascii="仿宋_GB2312" w:hAnsi="仿宋_GB2312" w:eastAsia="仿宋_GB2312" w:cs="仿宋_GB2312"/>
                <w:kern w:val="2"/>
                <w:sz w:val="18"/>
                <w:szCs w:val="18"/>
                <w:highlight w:val="none"/>
                <w:vertAlign w:val="baseline"/>
                <w:lang w:val="en-US" w:eastAsia="zh-CN" w:bidi="ar-SA"/>
              </w:rPr>
            </w:pPr>
          </w:p>
        </w:tc>
        <w:tc>
          <w:tcPr>
            <w:tcW w:w="630" w:type="dxa"/>
            <w:noWrap w:val="0"/>
            <w:vAlign w:val="center"/>
          </w:tcPr>
          <w:p w14:paraId="703153DE">
            <w:pPr>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0422001000</w:t>
            </w:r>
          </w:p>
        </w:tc>
        <w:tc>
          <w:tcPr>
            <w:tcW w:w="2130" w:type="dxa"/>
            <w:noWrap w:val="0"/>
            <w:vAlign w:val="center"/>
          </w:tcPr>
          <w:p w14:paraId="3C6B9C7B">
            <w:pPr>
              <w:adjustRightInd w:val="0"/>
              <w:snapToGrid w:val="0"/>
              <w:ind w:firstLine="36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【法律】《中华人民共和国森林法》（20</w:t>
            </w:r>
            <w:r>
              <w:rPr>
                <w:rFonts w:hint="eastAsia" w:ascii="仿宋_GB2312" w:hAnsi="仿宋_GB2312" w:eastAsia="仿宋_GB2312" w:cs="仿宋_GB2312"/>
                <w:sz w:val="18"/>
                <w:szCs w:val="18"/>
                <w:highlight w:val="none"/>
                <w:lang w:val="en-US" w:eastAsia="zh-CN"/>
              </w:rPr>
              <w:t>1</w:t>
            </w:r>
            <w:r>
              <w:rPr>
                <w:rFonts w:hint="eastAsia" w:ascii="仿宋_GB2312" w:hAnsi="仿宋_GB2312" w:eastAsia="仿宋_GB2312" w:cs="仿宋_GB2312"/>
                <w:sz w:val="18"/>
                <w:szCs w:val="18"/>
                <w:highlight w:val="none"/>
              </w:rPr>
              <w:t>9年修正）</w:t>
            </w:r>
          </w:p>
          <w:p w14:paraId="31BFF715">
            <w:pPr>
              <w:adjustRightInd w:val="0"/>
              <w:snapToGrid w:val="0"/>
              <w:ind w:firstLine="360" w:firstLineChars="20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kern w:val="2"/>
                <w:sz w:val="18"/>
                <w:szCs w:val="18"/>
                <w:highlight w:val="none"/>
                <w:shd w:val="clear" w:color="auto" w:fill="FFFFFF"/>
                <w:lang w:val="en-US" w:eastAsia="zh-CN"/>
              </w:rPr>
              <w:t>第三十七条 矿藏勘查、开采以及其他各类工程建设，应当不占或者少占林地；确需占用林地的，应当经县级以上人民政府林业主管部门审核同意，依法办理建设用地审批手续。占用林地的单位应当缴纳森林植被恢复费。森林植被恢复费征收使用管理办法由国务院财政部门会同林业主管部门制定。县级以上人民政府林业主管部门应当按照规定安排植树造林，恢复森林植被，植树造林面积不得少于因占用林地而减少的森林植被面积。上级林业主管部门应当定期督促下级林业主管部门组织植树造林、恢复森林植被，并进行检查。</w:t>
            </w:r>
            <w:r>
              <w:rPr>
                <w:rFonts w:hint="eastAsia" w:ascii="仿宋_GB2312" w:hAnsi="仿宋_GB2312" w:eastAsia="仿宋_GB2312" w:cs="仿宋_GB2312"/>
                <w:i w:val="0"/>
                <w:caps w:val="0"/>
                <w:color w:val="666666"/>
                <w:spacing w:val="0"/>
                <w:sz w:val="32"/>
                <w:szCs w:val="32"/>
                <w:highlight w:val="none"/>
                <w:shd w:val="clear" w:color="auto" w:fill="FFFFFF"/>
              </w:rPr>
              <w:br w:type="textWrapping"/>
            </w:r>
            <w:r>
              <w:rPr>
                <w:rFonts w:hint="eastAsia" w:ascii="仿宋_GB2312" w:hAnsi="仿宋_GB2312" w:eastAsia="仿宋_GB2312" w:cs="仿宋_GB2312"/>
                <w:sz w:val="18"/>
                <w:szCs w:val="18"/>
                <w:highlight w:val="none"/>
                <w:shd w:val="clear" w:color="auto" w:fill="FFFFFF"/>
              </w:rPr>
              <w:t xml:space="preserve">    </w:t>
            </w:r>
            <w:r>
              <w:rPr>
                <w:rFonts w:hint="eastAsia" w:ascii="仿宋_GB2312" w:hAnsi="仿宋_GB2312" w:eastAsia="仿宋_GB2312" w:cs="仿宋_GB2312"/>
                <w:sz w:val="18"/>
                <w:szCs w:val="18"/>
                <w:highlight w:val="none"/>
              </w:rPr>
              <w:t>【规范性文件】《财政部 国家林业局关于印发&lt;森林植被恢复费征收使用管理暂行办法&gt;的通知》（财综【2002】73号）</w:t>
            </w:r>
          </w:p>
          <w:p w14:paraId="0EC87EBF">
            <w:pPr>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 xml:space="preserve">    第四条 凡勘察、开采矿藏和修建道路、水利、电力、通讯等各项建设工程需要占用、征用或者临时占用林地，经县级以上林业主管部门审核同意或批准的，用地单位应当按照本办法规定向县级以上林业主管部门预缴森林植被恢复费</w:t>
            </w:r>
          </w:p>
        </w:tc>
        <w:tc>
          <w:tcPr>
            <w:tcW w:w="615" w:type="dxa"/>
            <w:noWrap w:val="0"/>
            <w:vAlign w:val="center"/>
          </w:tcPr>
          <w:p w14:paraId="474CCB83">
            <w:pPr>
              <w:widowControl/>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森林植被恢复费的征收</w:t>
            </w:r>
          </w:p>
        </w:tc>
        <w:tc>
          <w:tcPr>
            <w:tcW w:w="1260" w:type="dxa"/>
            <w:noWrap w:val="0"/>
            <w:vAlign w:val="center"/>
          </w:tcPr>
          <w:p w14:paraId="460D340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3BB598C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2.审核责任：按照法定程序和条件，对提交材料进行审查，提出审核意见。</w:t>
            </w:r>
          </w:p>
          <w:p w14:paraId="43C0F71B">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3.决定责任：作出征收或者不予征收的决定；不予征收的，应当书面通知申请人。</w:t>
            </w:r>
          </w:p>
          <w:p w14:paraId="7721A97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05C1123E">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5.其他法律法规规章文件规定应履行的责任。</w:t>
            </w:r>
          </w:p>
        </w:tc>
        <w:tc>
          <w:tcPr>
            <w:tcW w:w="2205" w:type="dxa"/>
            <w:noWrap w:val="0"/>
            <w:vAlign w:val="center"/>
          </w:tcPr>
          <w:p w14:paraId="4EECEE73">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1、【法律】《中华人民共和国森林法》（20</w:t>
            </w:r>
            <w:r>
              <w:rPr>
                <w:rFonts w:hint="eastAsia" w:ascii="仿宋_GB2312" w:hAnsi="仿宋_GB2312" w:eastAsia="仿宋_GB2312" w:cs="仿宋_GB2312"/>
                <w:sz w:val="18"/>
                <w:szCs w:val="18"/>
                <w:highlight w:val="none"/>
                <w:lang w:val="en-US" w:eastAsia="zh-CN"/>
              </w:rPr>
              <w:t>1</w:t>
            </w:r>
            <w:r>
              <w:rPr>
                <w:rFonts w:hint="eastAsia" w:ascii="仿宋_GB2312" w:hAnsi="仿宋_GB2312" w:eastAsia="仿宋_GB2312" w:cs="仿宋_GB2312"/>
                <w:sz w:val="18"/>
                <w:szCs w:val="18"/>
                <w:highlight w:val="none"/>
              </w:rPr>
              <w:t>9年修正）第十八条　进行勘查、开采矿藏和各项建设工程，应当不占或者少占林地；必须占用或者征收、征用林地的，经县级以上人民政府林业主管部门审核同意后，依照有关土地管理的法律、行政法规办理建设用地审批手续，并由用地单位依照国务院有关规定缴纳森林植被恢复费。森林植被恢复费专款专用，由林业主管部门依照有关规定统一安排植树造林，恢复森林植被，植树造林面积不得少于因占用、征收、征用林地而减少的森林植被面积。上级林业主管部门应当定期督促、检查下级林业主管部门组织植树造林、恢复森林植被的情况。</w:t>
            </w:r>
          </w:p>
          <w:p w14:paraId="4BE1C300">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2、【规范性文件】《财政部 国家林业局关于印发&lt;森林植被恢复费征收使用管理暂行办法&gt;的通知》（财综【2002】73号）</w:t>
            </w:r>
          </w:p>
          <w:p w14:paraId="613A8D4F">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 xml:space="preserve">    第四条 凡勘察、开采矿藏和修建道路、水利、电力、通讯等各项建设工程需要占用、征用或者临时占用林地，经县级以上林业主管部门审核同意或批准的，用地单位应当按照本办法规定向县级以上林业主管部门预缴森林植被恢复费</w:t>
            </w:r>
          </w:p>
        </w:tc>
        <w:tc>
          <w:tcPr>
            <w:tcW w:w="1095" w:type="dxa"/>
            <w:noWrap w:val="0"/>
            <w:vAlign w:val="center"/>
          </w:tcPr>
          <w:p w14:paraId="501E3FA2">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4F22456A">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1.没有法定依据实施征收的；</w:t>
            </w:r>
          </w:p>
          <w:p w14:paraId="2C629A75">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2.擅自改变征收项目的范围、标准、对象和期限的；</w:t>
            </w:r>
          </w:p>
          <w:p w14:paraId="6F377699">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3.截留、挪用、坐支或者私分征收款物的；</w:t>
            </w:r>
          </w:p>
          <w:p w14:paraId="2903131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4.不使用法定部门制发的专用征收票据的；</w:t>
            </w:r>
          </w:p>
          <w:p w14:paraId="44FBB11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kern w:val="0"/>
                <w:sz w:val="18"/>
                <w:szCs w:val="18"/>
                <w:highlight w:val="none"/>
              </w:rPr>
              <w:t>5.滥用职权、玩忽职守、徇私舞弊的；</w:t>
            </w:r>
          </w:p>
          <w:p w14:paraId="4730A849">
            <w:pPr>
              <w:widowControl/>
              <w:adjustRightInd w:val="0"/>
              <w:snapToGrid w:val="0"/>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6.未按裁量权规定，滥用裁量权的；</w:t>
            </w:r>
          </w:p>
          <w:p w14:paraId="29FE54BF">
            <w:pPr>
              <w:widowControl/>
              <w:adjustRightInd w:val="0"/>
              <w:snapToGrid w:val="0"/>
              <w:rPr>
                <w:rFonts w:hint="eastAsia" w:ascii="仿宋_GB2312" w:hAnsi="仿宋_GB2312" w:eastAsia="仿宋_GB2312" w:cs="仿宋_GB2312"/>
                <w:kern w:val="0"/>
                <w:sz w:val="18"/>
                <w:szCs w:val="18"/>
                <w:highlight w:val="none"/>
              </w:rPr>
            </w:pPr>
            <w:r>
              <w:rPr>
                <w:rFonts w:hint="eastAsia" w:ascii="仿宋_GB2312" w:hAnsi="仿宋_GB2312" w:eastAsia="仿宋_GB2312" w:cs="仿宋_GB2312"/>
                <w:kern w:val="0"/>
                <w:sz w:val="18"/>
                <w:szCs w:val="18"/>
                <w:highlight w:val="none"/>
              </w:rPr>
              <w:t>7.侵害公民、法人或者其他组织合法权益造成损失的；</w:t>
            </w:r>
          </w:p>
          <w:p w14:paraId="4550EE0E">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8.其他违反法律法规规章文件规定的行为。</w:t>
            </w:r>
          </w:p>
        </w:tc>
        <w:tc>
          <w:tcPr>
            <w:tcW w:w="2085" w:type="dxa"/>
            <w:noWrap w:val="0"/>
            <w:vAlign w:val="center"/>
          </w:tcPr>
          <w:p w14:paraId="2F643F3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1.《宁夏回族自治区行政责任追究办法》第十八条“行政机关及其工作人员在实施行政征收过程中有下列情形之一的，应当追究其行政责任：（一）没有法定依据实施征收的；”</w:t>
            </w:r>
          </w:p>
          <w:p w14:paraId="6B14846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2.《宁夏回族自治区行政责任追究办法》第十八条“行政机关及其工作人员在实施行政征收过程中有下列情形之一的，应当追究其行政责任：（二）擅自改变征收项目的范围、标准、对象和期限的；”</w:t>
            </w:r>
          </w:p>
          <w:p w14:paraId="2F619C4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3.《宁夏回族自治区行政责任追究办法》第十八条“（三）截留、挪用、坐支或者私分征收款物的；</w:t>
            </w:r>
          </w:p>
          <w:p w14:paraId="5C15CAB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4.《宁夏回族自治区行政责任追究办法》第十八条“（四）不使用法定部门制发的专用征收票据的；</w:t>
            </w:r>
          </w:p>
          <w:p w14:paraId="0F2A2D3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5.《宁夏回族自治区行政程序规定》第一百一十三条“行政机关及其工作人员违反本规定，有下列情形之一的，依照国家和自治区有关规定追究责任：（三）超越或者滥用职权的；”</w:t>
            </w:r>
          </w:p>
          <w:p w14:paraId="7331C992">
            <w:pPr>
              <w:adjustRightInd w:val="0"/>
              <w:snapToGrid w:val="0"/>
              <w:ind w:left="-80" w:leftChars="-38" w:right="-86" w:rightChars="-41"/>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6.《宁夏回族自治区行政程序规定》第一百一十三条“行政机关及其工作人员违反本规定，有下列情形之一的，依照国家和自治区有关规定追究责任：…（六）不按照行政裁量权基准进行裁量的；…”</w:t>
            </w:r>
          </w:p>
          <w:p w14:paraId="761D8A2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7.《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255799A">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8.《宁夏回族自治区行政责任追究办法》第十八条“（五）其他违法实施行政征收的情形。</w:t>
            </w:r>
          </w:p>
        </w:tc>
        <w:tc>
          <w:tcPr>
            <w:tcW w:w="1665" w:type="dxa"/>
            <w:noWrap w:val="0"/>
            <w:vAlign w:val="center"/>
          </w:tcPr>
          <w:p w14:paraId="2538004A">
            <w:pPr>
              <w:shd w:val="clear" w:color="auto" w:fill="FFFFFF"/>
              <w:adjustRightInd w:val="0"/>
              <w:snapToGrid w:val="0"/>
              <w:rPr>
                <w:rFonts w:hint="eastAsia" w:ascii="仿宋_GB2312" w:hAnsi="仿宋_GB2312" w:eastAsia="仿宋_GB2312" w:cs="仿宋_GB2312"/>
                <w:sz w:val="18"/>
                <w:szCs w:val="18"/>
                <w:highlight w:val="none"/>
              </w:rPr>
            </w:pPr>
          </w:p>
          <w:p w14:paraId="3937B32A">
            <w:pPr>
              <w:shd w:val="clear" w:color="auto" w:fill="FFFFFF"/>
              <w:adjustRightInd w:val="0"/>
              <w:snapToGrid w:val="0"/>
              <w:rPr>
                <w:rFonts w:hint="eastAsia" w:ascii="仿宋_GB2312" w:hAnsi="仿宋_GB2312" w:eastAsia="仿宋_GB2312" w:cs="仿宋_GB2312"/>
                <w:sz w:val="18"/>
                <w:szCs w:val="18"/>
                <w:highlight w:val="none"/>
              </w:rPr>
            </w:pPr>
          </w:p>
          <w:p w14:paraId="4B6A0520">
            <w:pPr>
              <w:shd w:val="clear" w:color="auto" w:fill="FFFFFF"/>
              <w:adjustRightInd w:val="0"/>
              <w:snapToGrid w:val="0"/>
              <w:rPr>
                <w:rFonts w:hint="eastAsia" w:ascii="仿宋_GB2312" w:hAnsi="仿宋_GB2312" w:eastAsia="仿宋_GB2312" w:cs="仿宋_GB2312"/>
                <w:sz w:val="18"/>
                <w:szCs w:val="18"/>
                <w:highlight w:val="none"/>
              </w:rPr>
            </w:pPr>
          </w:p>
          <w:p w14:paraId="442A0F0A">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A73EFF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008ED81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2D16B5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4A06EABA">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33D61BB8">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5.其他法律法规规章文件规定的责任承担方式。</w:t>
            </w:r>
          </w:p>
        </w:tc>
        <w:tc>
          <w:tcPr>
            <w:tcW w:w="2507" w:type="dxa"/>
            <w:noWrap w:val="0"/>
            <w:vAlign w:val="center"/>
          </w:tcPr>
          <w:p w14:paraId="7B08B654">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C48DC25">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7A55B5E">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270C2D1B">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1690B1D2">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72AFDE45">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lang w:val="en-US" w:eastAsia="zh-CN"/>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E14F3A2">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r>
    </w:tbl>
    <w:p w14:paraId="64B5FEE6">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五、行政给付（6项）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14"/>
        <w:gridCol w:w="702"/>
        <w:gridCol w:w="608"/>
        <w:gridCol w:w="2145"/>
        <w:gridCol w:w="608"/>
        <w:gridCol w:w="1291"/>
        <w:gridCol w:w="2165"/>
        <w:gridCol w:w="1101"/>
        <w:gridCol w:w="2088"/>
        <w:gridCol w:w="1633"/>
        <w:gridCol w:w="2554"/>
      </w:tblGrid>
      <w:tr w14:paraId="7FA2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4EF1D4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序号</w:t>
            </w:r>
          </w:p>
        </w:tc>
        <w:tc>
          <w:tcPr>
            <w:tcW w:w="614" w:type="dxa"/>
            <w:noWrap w:val="0"/>
            <w:vAlign w:val="center"/>
          </w:tcPr>
          <w:p w14:paraId="4757EC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职权</w:t>
            </w:r>
          </w:p>
          <w:p w14:paraId="78F76A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highlight w:val="none"/>
              </w:rPr>
            </w:pPr>
            <w:r>
              <w:rPr>
                <w:rFonts w:hint="eastAsia" w:ascii="仿宋_GB2312" w:hAnsi="仿宋_GB2312" w:eastAsia="仿宋_GB2312" w:cs="仿宋_GB2312"/>
                <w:sz w:val="18"/>
                <w:szCs w:val="18"/>
                <w:highlight w:val="none"/>
                <w:vertAlign w:val="baseline"/>
                <w:lang w:val="en-US" w:eastAsia="zh-CN"/>
              </w:rPr>
              <w:t>名称</w:t>
            </w:r>
          </w:p>
        </w:tc>
        <w:tc>
          <w:tcPr>
            <w:tcW w:w="702" w:type="dxa"/>
            <w:noWrap w:val="0"/>
            <w:vAlign w:val="center"/>
          </w:tcPr>
          <w:p w14:paraId="1EBC40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子项</w:t>
            </w:r>
          </w:p>
          <w:p w14:paraId="42250A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名称</w:t>
            </w:r>
          </w:p>
        </w:tc>
        <w:tc>
          <w:tcPr>
            <w:tcW w:w="608" w:type="dxa"/>
            <w:noWrap w:val="0"/>
            <w:vAlign w:val="center"/>
          </w:tcPr>
          <w:p w14:paraId="46E10B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基本编码</w:t>
            </w:r>
          </w:p>
        </w:tc>
        <w:tc>
          <w:tcPr>
            <w:tcW w:w="2145" w:type="dxa"/>
            <w:noWrap w:val="0"/>
            <w:vAlign w:val="center"/>
          </w:tcPr>
          <w:p w14:paraId="0FEB90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职权依据</w:t>
            </w:r>
          </w:p>
        </w:tc>
        <w:tc>
          <w:tcPr>
            <w:tcW w:w="608" w:type="dxa"/>
            <w:noWrap w:val="0"/>
            <w:vAlign w:val="center"/>
          </w:tcPr>
          <w:p w14:paraId="37D07B0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行使内容</w:t>
            </w:r>
          </w:p>
        </w:tc>
        <w:tc>
          <w:tcPr>
            <w:tcW w:w="1291" w:type="dxa"/>
            <w:noWrap w:val="0"/>
            <w:vAlign w:val="center"/>
          </w:tcPr>
          <w:p w14:paraId="700A98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阶段事项</w:t>
            </w:r>
          </w:p>
        </w:tc>
        <w:tc>
          <w:tcPr>
            <w:tcW w:w="2165" w:type="dxa"/>
            <w:noWrap w:val="0"/>
            <w:vAlign w:val="center"/>
          </w:tcPr>
          <w:p w14:paraId="35839D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责任事项依据</w:t>
            </w:r>
          </w:p>
        </w:tc>
        <w:tc>
          <w:tcPr>
            <w:tcW w:w="1101" w:type="dxa"/>
            <w:noWrap w:val="0"/>
            <w:vAlign w:val="center"/>
          </w:tcPr>
          <w:p w14:paraId="7D8550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追责情形</w:t>
            </w:r>
          </w:p>
        </w:tc>
        <w:tc>
          <w:tcPr>
            <w:tcW w:w="2088" w:type="dxa"/>
            <w:noWrap w:val="0"/>
            <w:vAlign w:val="center"/>
          </w:tcPr>
          <w:p w14:paraId="009AB39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追责情形依据</w:t>
            </w:r>
          </w:p>
        </w:tc>
        <w:tc>
          <w:tcPr>
            <w:tcW w:w="1633" w:type="dxa"/>
            <w:noWrap w:val="0"/>
            <w:vAlign w:val="center"/>
          </w:tcPr>
          <w:p w14:paraId="4D8A92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担责方式</w:t>
            </w:r>
          </w:p>
        </w:tc>
        <w:tc>
          <w:tcPr>
            <w:tcW w:w="2554" w:type="dxa"/>
            <w:noWrap w:val="0"/>
            <w:vAlign w:val="center"/>
          </w:tcPr>
          <w:p w14:paraId="4C3966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担责方式依据</w:t>
            </w:r>
          </w:p>
        </w:tc>
      </w:tr>
      <w:tr w14:paraId="11F1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830BCC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vertAlign w:val="baseline"/>
                <w:lang w:val="en-US" w:eastAsia="zh-CN"/>
              </w:rPr>
              <w:t>1</w:t>
            </w:r>
          </w:p>
        </w:tc>
        <w:tc>
          <w:tcPr>
            <w:tcW w:w="614" w:type="dxa"/>
            <w:noWrap w:val="0"/>
            <w:vAlign w:val="center"/>
          </w:tcPr>
          <w:p w14:paraId="40601FAD">
            <w:pPr>
              <w:adjustRightInd w:val="0"/>
              <w:snapToGrid w:val="0"/>
              <w:jc w:val="left"/>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因扑救森林火灾负伤、致残、牺牲的给付</w:t>
            </w:r>
          </w:p>
        </w:tc>
        <w:tc>
          <w:tcPr>
            <w:tcW w:w="702" w:type="dxa"/>
            <w:noWrap w:val="0"/>
            <w:vAlign w:val="center"/>
          </w:tcPr>
          <w:p w14:paraId="11FB11B3">
            <w:pPr>
              <w:jc w:val="both"/>
              <w:rPr>
                <w:rFonts w:hint="default" w:ascii="仿宋_GB2312" w:hAnsi="仿宋_GB2312" w:eastAsia="仿宋_GB2312" w:cs="仿宋_GB2312"/>
                <w:kern w:val="2"/>
                <w:sz w:val="18"/>
                <w:szCs w:val="18"/>
                <w:highlight w:val="none"/>
                <w:vertAlign w:val="baseline"/>
                <w:lang w:val="en-US" w:eastAsia="zh-CN" w:bidi="ar-SA"/>
              </w:rPr>
            </w:pPr>
          </w:p>
        </w:tc>
        <w:tc>
          <w:tcPr>
            <w:tcW w:w="608" w:type="dxa"/>
            <w:noWrap w:val="0"/>
            <w:vAlign w:val="center"/>
          </w:tcPr>
          <w:p w14:paraId="71B9862F">
            <w:pPr>
              <w:adjustRightInd w:val="0"/>
              <w:snapToGrid w:val="0"/>
              <w:jc w:val="left"/>
              <w:rPr>
                <w:rFonts w:hint="default"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0522001000</w:t>
            </w:r>
          </w:p>
        </w:tc>
        <w:tc>
          <w:tcPr>
            <w:tcW w:w="2145" w:type="dxa"/>
            <w:noWrap w:val="0"/>
            <w:vAlign w:val="center"/>
          </w:tcPr>
          <w:p w14:paraId="3E151B99">
            <w:pPr>
              <w:keepNext w:val="0"/>
              <w:keepLines w:val="0"/>
              <w:pageBreakBefore w:val="0"/>
              <w:kinsoku/>
              <w:wordWrap/>
              <w:overflowPunct/>
              <w:topLinePunct w:val="0"/>
              <w:autoSpaceDE/>
              <w:autoSpaceDN/>
              <w:bidi w:val="0"/>
              <w:adjustRightInd w:val="0"/>
              <w:snapToGrid w:val="0"/>
              <w:spacing w:line="300" w:lineRule="exact"/>
              <w:jc w:val="left"/>
              <w:textAlignment w:val="auto"/>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【行政法规】 《森林防火条例》（2008年国务院令第541号修改）</w:t>
            </w:r>
          </w:p>
          <w:p w14:paraId="54F49F49">
            <w:pPr>
              <w:keepNext w:val="0"/>
              <w:keepLines w:val="0"/>
              <w:pageBreakBefore w:val="0"/>
              <w:kinsoku/>
              <w:wordWrap/>
              <w:overflowPunct/>
              <w:topLinePunct w:val="0"/>
              <w:autoSpaceDE/>
              <w:autoSpaceDN/>
              <w:bidi w:val="0"/>
              <w:adjustRightInd w:val="0"/>
              <w:snapToGrid w:val="0"/>
              <w:spacing w:line="300" w:lineRule="exact"/>
              <w:jc w:val="left"/>
              <w:textAlignment w:val="auto"/>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第四十四条 对因扑救森林火灾负伤、致残或者死亡的人员，按照国家有关规定给予医疗、抚恤。</w:t>
            </w:r>
          </w:p>
          <w:p w14:paraId="18B730C0">
            <w:pPr>
              <w:keepNext w:val="0"/>
              <w:keepLines w:val="0"/>
              <w:pageBreakBefore w:val="0"/>
              <w:kinsoku/>
              <w:wordWrap/>
              <w:overflowPunct/>
              <w:topLinePunct w:val="0"/>
              <w:autoSpaceDE/>
              <w:autoSpaceDN/>
              <w:bidi w:val="0"/>
              <w:adjustRightInd w:val="0"/>
              <w:snapToGrid w:val="0"/>
              <w:spacing w:line="300" w:lineRule="exact"/>
              <w:ind w:firstLine="360"/>
              <w:jc w:val="left"/>
              <w:textAlignment w:val="auto"/>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第四十五条 参加森林火灾扑救的人员的误工补贴和生活补助以及扑救森林火灾所发生的其他费用，按照省、自治区、直辖市人民政府规定的标准，由火灾肇事单位或者个人支付；起火原因不清的，由起火单位支付；火灾肇事单位、个人或者起火单位确实无力支付的部分，由当地人民政府支付。误工补贴和生活补助以及扑救森林火灾所发生的其他费用，可以由当地人民政府先行支付。</w:t>
            </w:r>
          </w:p>
          <w:p w14:paraId="1FB1078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Lines="0" w:beforeAutospacing="0" w:after="0" w:afterLines="0" w:afterAutospacing="0" w:line="300" w:lineRule="exact"/>
              <w:ind w:left="0" w:right="0" w:firstLine="180" w:firstLineChars="100"/>
              <w:jc w:val="left"/>
              <w:textAlignment w:val="auto"/>
              <w:rPr>
                <w:rFonts w:hint="eastAsia" w:ascii="仿宋_GB2312" w:hAnsi="仿宋_GB2312" w:eastAsia="仿宋_GB2312" w:cs="仿宋_GB2312"/>
                <w:kern w:val="2"/>
                <w:sz w:val="18"/>
                <w:szCs w:val="18"/>
                <w:highlight w:val="none"/>
                <w:lang w:val="en-US" w:eastAsia="zh-CN"/>
              </w:rPr>
            </w:pPr>
            <w:r>
              <w:rPr>
                <w:rFonts w:hint="eastAsia" w:ascii="仿宋_GB2312" w:hAnsi="仿宋_GB2312" w:eastAsia="仿宋_GB2312" w:cs="仿宋_GB2312"/>
                <w:sz w:val="18"/>
                <w:szCs w:val="18"/>
                <w:highlight w:val="none"/>
              </w:rPr>
              <w:t>【</w:t>
            </w:r>
            <w:r>
              <w:rPr>
                <w:rFonts w:hint="eastAsia" w:ascii="仿宋_GB2312" w:hAnsi="仿宋_GB2312" w:eastAsia="仿宋_GB2312" w:cs="仿宋_GB2312"/>
                <w:sz w:val="18"/>
                <w:szCs w:val="18"/>
                <w:highlight w:val="none"/>
                <w:lang w:eastAsia="zh-CN"/>
              </w:rPr>
              <w:t>地方性</w:t>
            </w:r>
            <w:r>
              <w:rPr>
                <w:rFonts w:hint="eastAsia" w:ascii="仿宋_GB2312" w:hAnsi="仿宋_GB2312" w:eastAsia="仿宋_GB2312" w:cs="仿宋_GB2312"/>
                <w:sz w:val="18"/>
                <w:szCs w:val="18"/>
                <w:highlight w:val="none"/>
              </w:rPr>
              <w:t>法规】 《宁夏回族自治区森林</w:t>
            </w:r>
            <w:r>
              <w:rPr>
                <w:rFonts w:hint="eastAsia" w:ascii="仿宋_GB2312" w:hAnsi="仿宋_GB2312" w:eastAsia="仿宋_GB2312" w:cs="仿宋_GB2312"/>
                <w:kern w:val="2"/>
                <w:sz w:val="18"/>
                <w:szCs w:val="18"/>
                <w:highlight w:val="none"/>
                <w:lang w:val="en-US" w:eastAsia="zh-CN"/>
              </w:rPr>
              <w:t>防火办法》（2016年宁夏回族自治区人民政府令第84号</w:t>
            </w:r>
            <w:r>
              <w:rPr>
                <w:rFonts w:hint="eastAsia" w:ascii="仿宋_GB2312" w:hAnsi="仿宋_GB2312" w:eastAsia="仿宋_GB2312" w:cs="仿宋_GB2312"/>
                <w:sz w:val="18"/>
                <w:szCs w:val="18"/>
                <w:highlight w:val="none"/>
              </w:rPr>
              <w:t>）</w:t>
            </w:r>
          </w:p>
          <w:p w14:paraId="0C34B20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Lines="0" w:beforeAutospacing="0" w:after="0" w:afterLines="0" w:afterAutospacing="0" w:line="300" w:lineRule="exact"/>
              <w:ind w:left="0" w:leftChars="0" w:right="0" w:rightChars="0" w:firstLine="360" w:firstLineChars="200"/>
              <w:jc w:val="left"/>
              <w:textAlignment w:val="auto"/>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lang w:val="en-US" w:eastAsia="zh-CN"/>
              </w:rPr>
              <w:t>第三十四条  在森林火灾扑救中负伤、致残或者死亡的人员，其所在单位参加工伤保险的，进行工伤认定，由工伤保险基金支付相关待遇；单位未参加工伤保险的，由单位参照工伤保险待遇标准支付相关待遇；属于抚恤范畴的，按照抚恤相关规定给予抚恤。</w:t>
            </w:r>
          </w:p>
        </w:tc>
        <w:tc>
          <w:tcPr>
            <w:tcW w:w="608" w:type="dxa"/>
            <w:noWrap w:val="0"/>
            <w:vAlign w:val="center"/>
          </w:tcPr>
          <w:p w14:paraId="38849A65">
            <w:pPr>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因扑救森林火灾负伤、致残、牺牲的给付（由县人民政府给付）</w:t>
            </w:r>
          </w:p>
        </w:tc>
        <w:tc>
          <w:tcPr>
            <w:tcW w:w="1291" w:type="dxa"/>
            <w:noWrap w:val="0"/>
            <w:vAlign w:val="center"/>
          </w:tcPr>
          <w:p w14:paraId="206BFD3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411181D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2.审查责任：按照法定程序和条件，对提交材料进行审查，提出审核意见。</w:t>
            </w:r>
          </w:p>
          <w:p w14:paraId="3D9212C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3.决定责任：对符合条件的，予以给付。对不符合条件的不予给付，说明理由。</w:t>
            </w:r>
          </w:p>
          <w:p w14:paraId="14EC010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61D9199A">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5.其他法律法规规章文件规定应履行的责任。</w:t>
            </w:r>
          </w:p>
        </w:tc>
        <w:tc>
          <w:tcPr>
            <w:tcW w:w="2165" w:type="dxa"/>
            <w:noWrap w:val="0"/>
            <w:vAlign w:val="center"/>
          </w:tcPr>
          <w:p w14:paraId="294128EB">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1</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第三十条</w:t>
            </w:r>
            <w:r>
              <w:rPr>
                <w:rFonts w:hint="eastAsia" w:ascii="仿宋_GB2312" w:hAnsi="仿宋_GB2312" w:eastAsia="仿宋_GB2312" w:cs="仿宋_GB2312"/>
                <w:sz w:val="18"/>
                <w:szCs w:val="18"/>
                <w:highlight w:val="none"/>
              </w:rPr>
              <w:t>“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9A9F7D4">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2</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第三十四条</w:t>
            </w:r>
            <w:r>
              <w:rPr>
                <w:rFonts w:hint="eastAsia" w:ascii="仿宋_GB2312" w:hAnsi="仿宋_GB2312" w:eastAsia="仿宋_GB2312" w:cs="仿宋_GB2312"/>
                <w:sz w:val="18"/>
                <w:szCs w:val="18"/>
                <w:highlight w:val="none"/>
              </w:rPr>
              <w:t>“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5EAD02A">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FF"/>
                <w:sz w:val="18"/>
                <w:szCs w:val="18"/>
                <w:highlight w:val="none"/>
                <w:lang w:val="en-US" w:eastAsia="zh-CN"/>
              </w:rPr>
              <w:t>3</w:t>
            </w:r>
            <w:r>
              <w:rPr>
                <w:rFonts w:hint="eastAsia" w:ascii="仿宋_GB2312" w:hAnsi="仿宋_GB2312" w:eastAsia="仿宋_GB2312" w:cs="仿宋_GB2312"/>
                <w:color w:val="0000FF"/>
                <w:sz w:val="18"/>
                <w:szCs w:val="18"/>
                <w:highlight w:val="none"/>
              </w:rPr>
              <w:t>.</w:t>
            </w:r>
            <w:r>
              <w:rPr>
                <w:rFonts w:hint="eastAsia" w:ascii="仿宋_GB2312" w:hAnsi="仿宋_GB2312" w:eastAsia="仿宋_GB2312" w:cs="仿宋_GB2312"/>
                <w:color w:val="0000FF"/>
                <w:sz w:val="18"/>
                <w:szCs w:val="18"/>
                <w:highlight w:val="none"/>
                <w:lang w:eastAsia="zh-CN"/>
              </w:rPr>
              <w:t>《中华人民共和国行政许可法》</w:t>
            </w:r>
            <w:r>
              <w:rPr>
                <w:rFonts w:hint="eastAsia" w:ascii="仿宋_GB2312" w:hAnsi="仿宋_GB2312" w:eastAsia="仿宋_GB2312" w:cs="仿宋_GB2312"/>
                <w:color w:val="0000FF"/>
                <w:sz w:val="18"/>
                <w:szCs w:val="18"/>
                <w:highlight w:val="none"/>
              </w:rPr>
              <w:t>第三十七条</w:t>
            </w:r>
            <w:r>
              <w:rPr>
                <w:rFonts w:hint="eastAsia" w:ascii="仿宋_GB2312" w:hAnsi="仿宋_GB2312" w:eastAsia="仿宋_GB2312" w:cs="仿宋_GB2312"/>
                <w:sz w:val="18"/>
                <w:szCs w:val="18"/>
                <w:highlight w:val="none"/>
              </w:rPr>
              <w:t>“行政机关对行政许可申请进行审查后，除当场作出行政许可决定的外，应当在法定期限内按照规定程序作出行政许可决定。”</w:t>
            </w:r>
          </w:p>
          <w:p w14:paraId="2AB8A663">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0000CC"/>
                <w:sz w:val="18"/>
                <w:szCs w:val="18"/>
                <w:highlight w:val="none"/>
              </w:rPr>
              <w:t>4.</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第六十一条。</w:t>
            </w:r>
            <w:r>
              <w:rPr>
                <w:rFonts w:hint="eastAsia" w:ascii="仿宋_GB2312" w:hAnsi="仿宋_GB2312" w:eastAsia="仿宋_GB2312" w:cs="仿宋_GB2312"/>
                <w:sz w:val="18"/>
                <w:szCs w:val="18"/>
                <w:highlight w:val="none"/>
              </w:rPr>
              <w:t>“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101" w:type="dxa"/>
            <w:noWrap w:val="0"/>
            <w:vAlign w:val="center"/>
          </w:tcPr>
          <w:p w14:paraId="75E4122D">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03E1E885">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1.对符合受理条件的申请不予受理的；</w:t>
            </w:r>
          </w:p>
          <w:p w14:paraId="2DF6CBFA">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2.未严格履行审查责任的；</w:t>
            </w:r>
          </w:p>
          <w:p w14:paraId="639367AC">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3.不依法履行监督职责或者监督不力的；</w:t>
            </w:r>
          </w:p>
          <w:p w14:paraId="27FE15CE">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4.滥用职权、徇私舞弊、玩忽职守的；</w:t>
            </w:r>
          </w:p>
          <w:p w14:paraId="6E9F8C9F">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5.索贿、受贿，谋取不正当利益的；</w:t>
            </w:r>
          </w:p>
          <w:p w14:paraId="635588E2">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6.未按裁量权规定，滥用裁量权的；</w:t>
            </w:r>
          </w:p>
          <w:p w14:paraId="180E2481">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7.其他违反法律法规规章文件规定的行为。</w:t>
            </w:r>
          </w:p>
        </w:tc>
        <w:tc>
          <w:tcPr>
            <w:tcW w:w="2088" w:type="dxa"/>
            <w:noWrap w:val="0"/>
            <w:vAlign w:val="center"/>
          </w:tcPr>
          <w:p w14:paraId="2FCB619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1.《宁夏回族自治区行政责任追究办法》第十七条“行政机关及其工作人员在实施行政确认过程中有下列情形之一的，应当追究其行政责任：（一）无正当理由不受理或者拖延受理行政确认申请的；”</w:t>
            </w:r>
          </w:p>
          <w:p w14:paraId="50EEC915">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七条“行政机关及其工作人员在实施行政确认过程中有下列情形之一的，应当追究其行政责任：（二）超越权限实施行政确认，或者将同一确认事项给予两个以上申请人并重复出具确认证书，造成不良后果的；”</w:t>
            </w:r>
          </w:p>
          <w:p w14:paraId="5700EE90">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七条“行政机关及其工作人员在实施行政确认过程中有下列情形之一的，应当追究其行政责任：（三）行政确认程序违法，或者根据不确凿、不充分的证据作出行政确认，造成不良后果的；”</w:t>
            </w:r>
            <w:r>
              <w:rPr>
                <w:rFonts w:hint="eastAsia" w:ascii="仿宋_GB2312" w:hAnsi="仿宋_GB2312" w:eastAsia="仿宋_GB2312" w:cs="仿宋_GB2312"/>
                <w:sz w:val="18"/>
                <w:szCs w:val="18"/>
                <w:highlight w:val="none"/>
              </w:rPr>
              <w:br w:type="textWrapping"/>
            </w:r>
            <w:r>
              <w:rPr>
                <w:rFonts w:hint="eastAsia" w:ascii="仿宋_GB2312" w:hAnsi="仿宋_GB2312" w:eastAsia="仿宋_GB2312" w:cs="仿宋_GB2312"/>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772AC05F">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5.《宁夏回族自治区行政程序规定》第二十条“(四)不履行或者拖延履行法定职责的；”</w:t>
            </w:r>
          </w:p>
          <w:p w14:paraId="41E7A527">
            <w:pPr>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6.《宁夏回族自治区行政程序规定》第二十条“(九)违反本规定的其他情形。”</w:t>
            </w:r>
          </w:p>
        </w:tc>
        <w:tc>
          <w:tcPr>
            <w:tcW w:w="1633" w:type="dxa"/>
            <w:noWrap w:val="0"/>
            <w:vAlign w:val="center"/>
          </w:tcPr>
          <w:p w14:paraId="464F08F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467AC60">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44CCAA7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B9543E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52980F18">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1E204BE9">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5.其他法律法规规章文件规定的责任承担方式。</w:t>
            </w:r>
          </w:p>
        </w:tc>
        <w:tc>
          <w:tcPr>
            <w:tcW w:w="2554" w:type="dxa"/>
            <w:noWrap w:val="0"/>
            <w:vAlign w:val="center"/>
          </w:tcPr>
          <w:p w14:paraId="47C628A1">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4BB6308">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7E00A56">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5DEEB57C">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294022D3">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647D4D56">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lang w:val="en-US" w:eastAsia="zh-CN"/>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6FFF12C">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r>
      <w:tr w14:paraId="5EEB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EE783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vertAlign w:val="baseline"/>
                <w:lang w:val="en-US" w:eastAsia="zh-CN"/>
              </w:rPr>
              <w:t>2</w:t>
            </w:r>
          </w:p>
        </w:tc>
        <w:tc>
          <w:tcPr>
            <w:tcW w:w="614" w:type="dxa"/>
            <w:noWrap w:val="0"/>
            <w:vAlign w:val="center"/>
          </w:tcPr>
          <w:p w14:paraId="63B3AB79">
            <w:pPr>
              <w:adjustRightInd w:val="0"/>
              <w:snapToGrid w:val="0"/>
              <w:jc w:val="left"/>
              <w:rPr>
                <w:rFonts w:hint="eastAsia" w:ascii="仿宋_GB2312" w:hAnsi="仿宋_GB2312" w:eastAsia="仿宋_GB2312" w:cs="仿宋_GB2312"/>
                <w:kern w:val="2"/>
                <w:sz w:val="18"/>
                <w:szCs w:val="18"/>
                <w:highlight w:val="none"/>
                <w:lang w:val="en-US" w:eastAsia="zh-CN" w:bidi="ar-SA"/>
              </w:rPr>
            </w:pPr>
            <w:r>
              <w:rPr>
                <w:rFonts w:hint="eastAsia" w:ascii="仿宋_GB2312" w:hAnsi="仿宋_GB2312" w:eastAsia="仿宋_GB2312" w:cs="仿宋_GB2312"/>
                <w:sz w:val="18"/>
                <w:szCs w:val="18"/>
                <w:highlight w:val="none"/>
              </w:rPr>
              <w:t>因保护野生动物造成人员伤亡、农作物或者其他财产损失的补偿给付</w:t>
            </w:r>
          </w:p>
        </w:tc>
        <w:tc>
          <w:tcPr>
            <w:tcW w:w="702" w:type="dxa"/>
            <w:noWrap w:val="0"/>
            <w:vAlign w:val="center"/>
          </w:tcPr>
          <w:p w14:paraId="50CFAF8B">
            <w:pPr>
              <w:jc w:val="both"/>
              <w:rPr>
                <w:rFonts w:hint="eastAsia" w:ascii="仿宋_GB2312" w:hAnsi="仿宋_GB2312" w:eastAsia="仿宋_GB2312" w:cs="仿宋_GB2312"/>
                <w:kern w:val="2"/>
                <w:sz w:val="18"/>
                <w:szCs w:val="18"/>
                <w:highlight w:val="none"/>
                <w:vertAlign w:val="baseline"/>
                <w:lang w:val="en-US" w:eastAsia="zh-CN" w:bidi="ar-SA"/>
              </w:rPr>
            </w:pPr>
          </w:p>
        </w:tc>
        <w:tc>
          <w:tcPr>
            <w:tcW w:w="608" w:type="dxa"/>
            <w:noWrap w:val="0"/>
            <w:vAlign w:val="center"/>
          </w:tcPr>
          <w:p w14:paraId="6326313F">
            <w:pPr>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0522003000</w:t>
            </w:r>
          </w:p>
        </w:tc>
        <w:tc>
          <w:tcPr>
            <w:tcW w:w="2145" w:type="dxa"/>
            <w:noWrap w:val="0"/>
            <w:vAlign w:val="center"/>
          </w:tcPr>
          <w:p w14:paraId="7CA0F8A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Lines="0" w:beforeAutospacing="0" w:after="0" w:afterLines="0" w:afterAutospacing="0" w:line="300" w:lineRule="exact"/>
              <w:ind w:left="0" w:right="0" w:firstLine="180" w:firstLineChars="100"/>
              <w:jc w:val="left"/>
              <w:textAlignment w:val="auto"/>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【法律】《中华人民共和国野生动物保护法》 （201</w:t>
            </w:r>
            <w:r>
              <w:rPr>
                <w:rFonts w:hint="eastAsia" w:ascii="仿宋_GB2312" w:hAnsi="仿宋_GB2312" w:eastAsia="仿宋_GB2312" w:cs="仿宋_GB2312"/>
                <w:sz w:val="18"/>
                <w:szCs w:val="18"/>
                <w:highlight w:val="none"/>
                <w:lang w:val="en-US" w:eastAsia="zh-CN"/>
              </w:rPr>
              <w:t>8</w:t>
            </w:r>
            <w:r>
              <w:rPr>
                <w:rFonts w:hint="eastAsia" w:ascii="仿宋_GB2312" w:hAnsi="仿宋_GB2312" w:eastAsia="仿宋_GB2312" w:cs="仿宋_GB2312"/>
                <w:sz w:val="18"/>
                <w:szCs w:val="18"/>
                <w:highlight w:val="none"/>
              </w:rPr>
              <w:t>年修</w:t>
            </w:r>
            <w:r>
              <w:rPr>
                <w:rFonts w:hint="eastAsia" w:ascii="仿宋_GB2312" w:hAnsi="仿宋_GB2312" w:eastAsia="仿宋_GB2312" w:cs="仿宋_GB2312"/>
                <w:sz w:val="18"/>
                <w:szCs w:val="18"/>
                <w:highlight w:val="none"/>
                <w:lang w:eastAsia="zh-CN"/>
              </w:rPr>
              <w:t>正</w:t>
            </w:r>
            <w:r>
              <w:rPr>
                <w:rFonts w:hint="eastAsia" w:ascii="仿宋_GB2312" w:hAnsi="仿宋_GB2312" w:eastAsia="仿宋_GB2312" w:cs="仿宋_GB2312"/>
                <w:sz w:val="18"/>
                <w:szCs w:val="18"/>
                <w:highlight w:val="none"/>
              </w:rPr>
              <w:t>）</w:t>
            </w:r>
          </w:p>
          <w:p w14:paraId="38AE2AA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Lines="0" w:beforeAutospacing="0" w:after="0" w:afterLines="0" w:afterAutospacing="0" w:line="300" w:lineRule="exact"/>
              <w:ind w:left="0" w:leftChars="0" w:right="0" w:rightChars="0" w:firstLine="180" w:firstLineChars="100"/>
              <w:jc w:val="left"/>
              <w:textAlignment w:val="auto"/>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lang w:val="en-US" w:eastAsia="zh-CN"/>
              </w:rPr>
              <w:t> 第十九条　因保护本法规定保护的野生动物，造成人员伤亡、农作物或者其他财产损失的，由当地人民政府给予补偿。具体办法由省、自治区、直辖市人民政府制定。有关地方人民政府可以推动保险机构开展野生动物致害赔偿保险业务。有关地方人民政府采取预防、控制国家重点保护野生动物造成危害的措施以及实行补偿所需经费，由中央财政按照国家有关规定予以补助。</w:t>
            </w:r>
          </w:p>
        </w:tc>
        <w:tc>
          <w:tcPr>
            <w:tcW w:w="608" w:type="dxa"/>
            <w:noWrap w:val="0"/>
            <w:vAlign w:val="center"/>
          </w:tcPr>
          <w:p w14:paraId="76282E82">
            <w:pPr>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因保护野生动物造成人员伤亡、农作物或者其他财产损失的补偿给付</w:t>
            </w:r>
          </w:p>
        </w:tc>
        <w:tc>
          <w:tcPr>
            <w:tcW w:w="1291" w:type="dxa"/>
            <w:noWrap w:val="0"/>
            <w:vAlign w:val="center"/>
          </w:tcPr>
          <w:p w14:paraId="1F062311">
            <w:pPr>
              <w:shd w:val="clear" w:color="auto" w:fill="FFFFFF"/>
              <w:adjustRightInd w:val="0"/>
              <w:snapToGrid w:val="0"/>
              <w:rPr>
                <w:rFonts w:hint="eastAsia" w:ascii="仿宋_GB2312" w:hAnsi="仿宋_GB2312" w:eastAsia="仿宋_GB2312" w:cs="仿宋_GB2312"/>
                <w:sz w:val="18"/>
                <w:szCs w:val="18"/>
                <w:highlight w:val="none"/>
              </w:rPr>
            </w:pPr>
          </w:p>
          <w:p w14:paraId="387C8355">
            <w:pPr>
              <w:shd w:val="clear" w:color="auto" w:fill="FFFFFF"/>
              <w:adjustRightInd w:val="0"/>
              <w:snapToGrid w:val="0"/>
              <w:rPr>
                <w:rFonts w:hint="eastAsia" w:ascii="仿宋_GB2312" w:hAnsi="仿宋_GB2312" w:eastAsia="仿宋_GB2312" w:cs="仿宋_GB2312"/>
                <w:sz w:val="18"/>
                <w:szCs w:val="18"/>
                <w:highlight w:val="none"/>
              </w:rPr>
            </w:pPr>
          </w:p>
          <w:p w14:paraId="31E9C05A">
            <w:pPr>
              <w:shd w:val="clear" w:color="auto" w:fill="FFFFFF"/>
              <w:adjustRightInd w:val="0"/>
              <w:snapToGrid w:val="0"/>
              <w:rPr>
                <w:rFonts w:hint="eastAsia" w:ascii="仿宋_GB2312" w:hAnsi="仿宋_GB2312" w:eastAsia="仿宋_GB2312" w:cs="仿宋_GB2312"/>
                <w:sz w:val="18"/>
                <w:szCs w:val="18"/>
                <w:highlight w:val="none"/>
              </w:rPr>
            </w:pPr>
          </w:p>
          <w:p w14:paraId="66D61B76">
            <w:pPr>
              <w:shd w:val="clear" w:color="auto" w:fill="FFFFFF"/>
              <w:adjustRightInd w:val="0"/>
              <w:snapToGrid w:val="0"/>
              <w:rPr>
                <w:rFonts w:hint="eastAsia" w:ascii="仿宋_GB2312" w:hAnsi="仿宋_GB2312" w:eastAsia="仿宋_GB2312" w:cs="仿宋_GB2312"/>
                <w:sz w:val="18"/>
                <w:szCs w:val="18"/>
                <w:highlight w:val="none"/>
              </w:rPr>
            </w:pPr>
          </w:p>
          <w:p w14:paraId="4BAC6612">
            <w:pPr>
              <w:shd w:val="clear" w:color="auto" w:fill="FFFFFF"/>
              <w:adjustRightInd w:val="0"/>
              <w:snapToGrid w:val="0"/>
              <w:rPr>
                <w:rFonts w:hint="eastAsia" w:ascii="仿宋_GB2312" w:hAnsi="仿宋_GB2312" w:eastAsia="仿宋_GB2312" w:cs="仿宋_GB2312"/>
                <w:sz w:val="18"/>
                <w:szCs w:val="18"/>
                <w:highlight w:val="none"/>
              </w:rPr>
            </w:pPr>
          </w:p>
          <w:p w14:paraId="1C8DC0AB">
            <w:pPr>
              <w:shd w:val="clear" w:color="auto" w:fill="FFFFFF"/>
              <w:adjustRightInd w:val="0"/>
              <w:snapToGrid w:val="0"/>
              <w:rPr>
                <w:rFonts w:hint="eastAsia" w:ascii="仿宋_GB2312" w:hAnsi="仿宋_GB2312" w:eastAsia="仿宋_GB2312" w:cs="仿宋_GB2312"/>
                <w:sz w:val="18"/>
                <w:szCs w:val="18"/>
                <w:highlight w:val="none"/>
              </w:rPr>
            </w:pPr>
          </w:p>
          <w:p w14:paraId="2002A3B5">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430D4734">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2.审查责任：按照法定程序和条件，对提交材料进行审查，提出审核意见。</w:t>
            </w:r>
          </w:p>
          <w:p w14:paraId="36A873E4">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3.决定责任：对符合条件的，予以给付。对不符合条件的不予给付，说明理由。</w:t>
            </w:r>
          </w:p>
          <w:p w14:paraId="0700F5D0">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3C0F884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5.其他法律法规规章文件规定应履行的责任。</w:t>
            </w:r>
          </w:p>
          <w:p w14:paraId="7C2DFA4B">
            <w:pPr>
              <w:shd w:val="clear" w:color="auto" w:fill="FFFFFF"/>
              <w:adjustRightInd w:val="0"/>
              <w:snapToGrid w:val="0"/>
              <w:rPr>
                <w:rFonts w:hint="eastAsia" w:ascii="仿宋_GB2312" w:hAnsi="仿宋_GB2312" w:eastAsia="仿宋_GB2312" w:cs="仿宋_GB2312"/>
                <w:sz w:val="18"/>
                <w:szCs w:val="18"/>
                <w:highlight w:val="none"/>
              </w:rPr>
            </w:pPr>
          </w:p>
          <w:p w14:paraId="4CBD3F17">
            <w:pPr>
              <w:shd w:val="clear" w:color="auto" w:fill="FFFFFF"/>
              <w:adjustRightInd w:val="0"/>
              <w:snapToGrid w:val="0"/>
              <w:rPr>
                <w:rFonts w:hint="eastAsia" w:ascii="仿宋_GB2312" w:hAnsi="仿宋_GB2312" w:eastAsia="仿宋_GB2312" w:cs="仿宋_GB2312"/>
                <w:sz w:val="18"/>
                <w:szCs w:val="18"/>
                <w:highlight w:val="none"/>
              </w:rPr>
            </w:pPr>
          </w:p>
          <w:p w14:paraId="17C853D7">
            <w:pPr>
              <w:shd w:val="clear" w:color="auto" w:fill="FFFFFF"/>
              <w:adjustRightInd w:val="0"/>
              <w:snapToGrid w:val="0"/>
              <w:rPr>
                <w:rFonts w:hint="eastAsia" w:ascii="仿宋_GB2312" w:hAnsi="仿宋_GB2312" w:eastAsia="仿宋_GB2312" w:cs="仿宋_GB2312"/>
                <w:sz w:val="18"/>
                <w:szCs w:val="18"/>
                <w:highlight w:val="none"/>
              </w:rPr>
            </w:pPr>
          </w:p>
          <w:p w14:paraId="5FBB16D6">
            <w:pPr>
              <w:shd w:val="clear" w:color="auto" w:fill="FFFFFF"/>
              <w:adjustRightInd w:val="0"/>
              <w:snapToGrid w:val="0"/>
              <w:rPr>
                <w:rFonts w:hint="eastAsia" w:ascii="仿宋_GB2312" w:hAnsi="仿宋_GB2312" w:eastAsia="仿宋_GB2312" w:cs="仿宋_GB2312"/>
                <w:sz w:val="18"/>
                <w:szCs w:val="18"/>
                <w:highlight w:val="none"/>
              </w:rPr>
            </w:pPr>
          </w:p>
          <w:p w14:paraId="35C97F6F">
            <w:pPr>
              <w:shd w:val="clear" w:color="auto" w:fill="FFFFFF"/>
              <w:adjustRightInd w:val="0"/>
              <w:snapToGrid w:val="0"/>
              <w:rPr>
                <w:rFonts w:hint="eastAsia" w:ascii="仿宋_GB2312" w:hAnsi="仿宋_GB2312" w:eastAsia="仿宋_GB2312" w:cs="仿宋_GB2312"/>
                <w:sz w:val="18"/>
                <w:szCs w:val="18"/>
                <w:highlight w:val="none"/>
              </w:rPr>
            </w:pPr>
          </w:p>
          <w:p w14:paraId="108A6250">
            <w:pPr>
              <w:shd w:val="clear" w:color="auto" w:fill="FFFFFF"/>
              <w:adjustRightInd w:val="0"/>
              <w:snapToGrid w:val="0"/>
              <w:rPr>
                <w:rFonts w:hint="eastAsia" w:ascii="仿宋_GB2312" w:hAnsi="仿宋_GB2312" w:eastAsia="仿宋_GB2312" w:cs="仿宋_GB2312"/>
                <w:sz w:val="18"/>
                <w:szCs w:val="18"/>
                <w:highlight w:val="none"/>
              </w:rPr>
            </w:pPr>
          </w:p>
          <w:p w14:paraId="5E5CF916">
            <w:pPr>
              <w:shd w:val="clear" w:color="auto" w:fill="FFFFFF"/>
              <w:adjustRightInd w:val="0"/>
              <w:snapToGrid w:val="0"/>
              <w:rPr>
                <w:rFonts w:hint="eastAsia" w:ascii="仿宋_GB2312" w:hAnsi="仿宋_GB2312" w:eastAsia="仿宋_GB2312" w:cs="仿宋_GB2312"/>
                <w:sz w:val="18"/>
                <w:szCs w:val="18"/>
                <w:highlight w:val="none"/>
              </w:rPr>
            </w:pPr>
          </w:p>
          <w:p w14:paraId="357FF8AA">
            <w:pPr>
              <w:shd w:val="clear" w:color="auto" w:fill="FFFFFF"/>
              <w:adjustRightInd w:val="0"/>
              <w:snapToGrid w:val="0"/>
              <w:rPr>
                <w:rFonts w:hint="eastAsia" w:ascii="仿宋_GB2312" w:hAnsi="仿宋_GB2312" w:eastAsia="仿宋_GB2312" w:cs="仿宋_GB2312"/>
                <w:sz w:val="18"/>
                <w:szCs w:val="18"/>
                <w:highlight w:val="none"/>
              </w:rPr>
            </w:pPr>
          </w:p>
          <w:p w14:paraId="3C432593">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c>
          <w:tcPr>
            <w:tcW w:w="2165" w:type="dxa"/>
            <w:noWrap w:val="0"/>
            <w:vAlign w:val="center"/>
          </w:tcPr>
          <w:p w14:paraId="13F1025D">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1</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第三十条</w:t>
            </w:r>
            <w:r>
              <w:rPr>
                <w:rFonts w:hint="eastAsia" w:ascii="仿宋_GB2312" w:hAnsi="仿宋_GB2312" w:eastAsia="仿宋_GB2312" w:cs="仿宋_GB2312"/>
                <w:sz w:val="18"/>
                <w:szCs w:val="18"/>
                <w:highlight w:val="none"/>
              </w:rPr>
              <w:t>“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5D54376">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2</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第三十四条</w:t>
            </w:r>
            <w:r>
              <w:rPr>
                <w:rFonts w:hint="eastAsia" w:ascii="仿宋_GB2312" w:hAnsi="仿宋_GB2312" w:eastAsia="仿宋_GB2312" w:cs="仿宋_GB2312"/>
                <w:sz w:val="18"/>
                <w:szCs w:val="18"/>
                <w:highlight w:val="none"/>
              </w:rPr>
              <w:t>“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C7DD879">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FF"/>
                <w:sz w:val="18"/>
                <w:szCs w:val="18"/>
                <w:highlight w:val="none"/>
                <w:lang w:val="en-US" w:eastAsia="zh-CN"/>
              </w:rPr>
              <w:t>3</w:t>
            </w:r>
            <w:r>
              <w:rPr>
                <w:rFonts w:hint="eastAsia" w:ascii="仿宋_GB2312" w:hAnsi="仿宋_GB2312" w:eastAsia="仿宋_GB2312" w:cs="仿宋_GB2312"/>
                <w:color w:val="0000FF"/>
                <w:sz w:val="18"/>
                <w:szCs w:val="18"/>
                <w:highlight w:val="none"/>
              </w:rPr>
              <w:t>.</w:t>
            </w:r>
            <w:r>
              <w:rPr>
                <w:rFonts w:hint="eastAsia" w:ascii="仿宋_GB2312" w:hAnsi="仿宋_GB2312" w:eastAsia="仿宋_GB2312" w:cs="仿宋_GB2312"/>
                <w:color w:val="0000FF"/>
                <w:sz w:val="18"/>
                <w:szCs w:val="18"/>
                <w:highlight w:val="none"/>
                <w:lang w:eastAsia="zh-CN"/>
              </w:rPr>
              <w:t>《中华人民共和国行政许可法》</w:t>
            </w:r>
            <w:r>
              <w:rPr>
                <w:rFonts w:hint="eastAsia" w:ascii="仿宋_GB2312" w:hAnsi="仿宋_GB2312" w:eastAsia="仿宋_GB2312" w:cs="仿宋_GB2312"/>
                <w:color w:val="0000FF"/>
                <w:sz w:val="18"/>
                <w:szCs w:val="18"/>
                <w:highlight w:val="none"/>
              </w:rPr>
              <w:t>第三十七条</w:t>
            </w:r>
            <w:r>
              <w:rPr>
                <w:rFonts w:hint="eastAsia" w:ascii="仿宋_GB2312" w:hAnsi="仿宋_GB2312" w:eastAsia="仿宋_GB2312" w:cs="仿宋_GB2312"/>
                <w:sz w:val="18"/>
                <w:szCs w:val="18"/>
                <w:highlight w:val="none"/>
              </w:rPr>
              <w:t>“行政机关对行政许可申请进行审查后，除当场作出行政许可决定的外，应当在法定期限内按照规定程序作出行政许可决定。”</w:t>
            </w:r>
          </w:p>
          <w:p w14:paraId="3F605D2D">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0000CC"/>
                <w:sz w:val="18"/>
                <w:szCs w:val="18"/>
                <w:highlight w:val="none"/>
              </w:rPr>
              <w:t>4.</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第六十一条。</w:t>
            </w:r>
            <w:r>
              <w:rPr>
                <w:rFonts w:hint="eastAsia" w:ascii="仿宋_GB2312" w:hAnsi="仿宋_GB2312" w:eastAsia="仿宋_GB2312" w:cs="仿宋_GB2312"/>
                <w:sz w:val="18"/>
                <w:szCs w:val="18"/>
                <w:highlight w:val="none"/>
              </w:rPr>
              <w:t>“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101" w:type="dxa"/>
            <w:noWrap w:val="0"/>
            <w:vAlign w:val="center"/>
          </w:tcPr>
          <w:p w14:paraId="57AA8F65">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3BB3DDDF">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1.对符合受理条件的申请不予受理的；</w:t>
            </w:r>
          </w:p>
          <w:p w14:paraId="49F22665">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2.未严格履行审查责任的；</w:t>
            </w:r>
          </w:p>
          <w:p w14:paraId="41F10A20">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3.不依法履行监督职责或者监督不力的；</w:t>
            </w:r>
          </w:p>
          <w:p w14:paraId="48A950BB">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4.滥用职权、徇私舞弊、玩忽职守的；</w:t>
            </w:r>
          </w:p>
          <w:p w14:paraId="070FF777">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5.索贿、受贿，谋取不正当利益的；</w:t>
            </w:r>
          </w:p>
          <w:p w14:paraId="4C17802E">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6.未按裁量权规定，滥用裁量权的；</w:t>
            </w:r>
          </w:p>
          <w:p w14:paraId="41EDB130">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7.其他违反法律法规规章文件规定的行为。</w:t>
            </w:r>
          </w:p>
        </w:tc>
        <w:tc>
          <w:tcPr>
            <w:tcW w:w="2088" w:type="dxa"/>
            <w:noWrap w:val="0"/>
            <w:vAlign w:val="center"/>
          </w:tcPr>
          <w:p w14:paraId="66E5F01B">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1.《宁夏回族自治区行政责任追究办法》第十七条“行政机关及其工作人员在实施行政确认过程中有下列情形之一的，应当追究其行政责任：（一）无正当理由不受理或者拖延受理行政确认申请的；”</w:t>
            </w:r>
          </w:p>
          <w:p w14:paraId="6787DA74">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七条“行政机关及其工作人员在实施行政确认过程中有下列情形之一的，应当追究其行政责任：（二）超越权限实施行政确认，或者将同一确认事项给予两个以上申请人并重复出具确认证书，造成不良后果的；”</w:t>
            </w:r>
          </w:p>
          <w:p w14:paraId="1D13D464">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七条“行政机关及其工作人员在实施行政确认过程中有下列情形之一的，应当追究其行政责任：（三）行政确认程序违法，或者根据不确凿、不充分的证据作出行政确认，造成不良后果的；”</w:t>
            </w:r>
            <w:r>
              <w:rPr>
                <w:rFonts w:hint="eastAsia" w:ascii="仿宋_GB2312" w:hAnsi="仿宋_GB2312" w:eastAsia="仿宋_GB2312" w:cs="仿宋_GB2312"/>
                <w:sz w:val="18"/>
                <w:szCs w:val="18"/>
                <w:highlight w:val="none"/>
              </w:rPr>
              <w:br w:type="textWrapping"/>
            </w:r>
            <w:r>
              <w:rPr>
                <w:rFonts w:hint="eastAsia" w:ascii="仿宋_GB2312" w:hAnsi="仿宋_GB2312" w:eastAsia="仿宋_GB2312" w:cs="仿宋_GB2312"/>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3A15725E">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5.《宁夏回族自治区行政程序规定》第二十条“(四)不履行或者拖延履行法定职责的；”</w:t>
            </w:r>
          </w:p>
          <w:p w14:paraId="2F3E15D5">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6.《宁夏回族自治区行政程序规定》第二十条“(九)违反本规定的其他情形。”</w:t>
            </w:r>
          </w:p>
        </w:tc>
        <w:tc>
          <w:tcPr>
            <w:tcW w:w="1633" w:type="dxa"/>
            <w:noWrap w:val="0"/>
            <w:vAlign w:val="center"/>
          </w:tcPr>
          <w:p w14:paraId="52FBB0EF">
            <w:pPr>
              <w:shd w:val="clear" w:color="auto" w:fill="FFFFFF"/>
              <w:adjustRightInd w:val="0"/>
              <w:snapToGrid w:val="0"/>
              <w:rPr>
                <w:rFonts w:hint="eastAsia" w:ascii="仿宋_GB2312" w:hAnsi="仿宋_GB2312" w:eastAsia="仿宋_GB2312" w:cs="仿宋_GB2312"/>
                <w:sz w:val="18"/>
                <w:szCs w:val="18"/>
                <w:highlight w:val="none"/>
              </w:rPr>
            </w:pPr>
          </w:p>
          <w:p w14:paraId="2F66BDE9">
            <w:pPr>
              <w:shd w:val="clear" w:color="auto" w:fill="FFFFFF"/>
              <w:adjustRightInd w:val="0"/>
              <w:snapToGrid w:val="0"/>
              <w:rPr>
                <w:rFonts w:hint="eastAsia" w:ascii="仿宋_GB2312" w:hAnsi="仿宋_GB2312" w:eastAsia="仿宋_GB2312" w:cs="仿宋_GB2312"/>
                <w:sz w:val="18"/>
                <w:szCs w:val="18"/>
                <w:highlight w:val="none"/>
              </w:rPr>
            </w:pPr>
          </w:p>
          <w:p w14:paraId="029B06B7">
            <w:pPr>
              <w:shd w:val="clear" w:color="auto" w:fill="FFFFFF"/>
              <w:adjustRightInd w:val="0"/>
              <w:snapToGrid w:val="0"/>
              <w:rPr>
                <w:rFonts w:hint="eastAsia" w:ascii="仿宋_GB2312" w:hAnsi="仿宋_GB2312" w:eastAsia="仿宋_GB2312" w:cs="仿宋_GB2312"/>
                <w:sz w:val="18"/>
                <w:szCs w:val="18"/>
                <w:highlight w:val="none"/>
              </w:rPr>
            </w:pPr>
          </w:p>
          <w:p w14:paraId="4F816105">
            <w:pPr>
              <w:shd w:val="clear" w:color="auto" w:fill="FFFFFF"/>
              <w:adjustRightInd w:val="0"/>
              <w:snapToGrid w:val="0"/>
              <w:rPr>
                <w:rFonts w:hint="eastAsia" w:ascii="仿宋_GB2312" w:hAnsi="仿宋_GB2312" w:eastAsia="仿宋_GB2312" w:cs="仿宋_GB2312"/>
                <w:sz w:val="18"/>
                <w:szCs w:val="18"/>
                <w:highlight w:val="none"/>
              </w:rPr>
            </w:pPr>
          </w:p>
          <w:p w14:paraId="34482C49">
            <w:pPr>
              <w:shd w:val="clear" w:color="auto" w:fill="FFFFFF"/>
              <w:adjustRightInd w:val="0"/>
              <w:snapToGrid w:val="0"/>
              <w:rPr>
                <w:rFonts w:hint="eastAsia" w:ascii="仿宋_GB2312" w:hAnsi="仿宋_GB2312" w:eastAsia="仿宋_GB2312" w:cs="仿宋_GB2312"/>
                <w:sz w:val="18"/>
                <w:szCs w:val="18"/>
                <w:highlight w:val="none"/>
              </w:rPr>
            </w:pPr>
          </w:p>
          <w:p w14:paraId="396AEE34">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7D18E67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1C918BE0">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2E54DB0">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23E99299">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05941587">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5.其他法律法规规章文件规定的责任承担方式。</w:t>
            </w:r>
          </w:p>
        </w:tc>
        <w:tc>
          <w:tcPr>
            <w:tcW w:w="2554" w:type="dxa"/>
            <w:noWrap w:val="0"/>
            <w:vAlign w:val="center"/>
          </w:tcPr>
          <w:p w14:paraId="08D341B2">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F1DEADF">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B12D2BB">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14078D55">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41E3B004">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3A1DA196">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lang w:val="en-US" w:eastAsia="zh-CN"/>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47F4FEE">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r>
      <w:tr w14:paraId="33FE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128C23A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3</w:t>
            </w:r>
          </w:p>
        </w:tc>
        <w:tc>
          <w:tcPr>
            <w:tcW w:w="614" w:type="dxa"/>
            <w:noWrap w:val="0"/>
            <w:vAlign w:val="center"/>
          </w:tcPr>
          <w:p w14:paraId="6DD4FD1B">
            <w:pPr>
              <w:adjustRightInd w:val="0"/>
              <w:snapToGrid w:val="0"/>
              <w:jc w:val="left"/>
              <w:rPr>
                <w:rFonts w:ascii="Calibri" w:hAnsi="Calibri" w:eastAsia="宋体" w:cs="Times New Roman"/>
                <w:kern w:val="2"/>
                <w:sz w:val="21"/>
                <w:szCs w:val="24"/>
                <w:highlight w:val="none"/>
                <w:lang w:val="en-US" w:eastAsia="zh-CN" w:bidi="ar-SA"/>
              </w:rPr>
            </w:pPr>
            <w:r>
              <w:rPr>
                <w:rFonts w:hint="eastAsia" w:ascii="仿宋_GB2312" w:hAnsi="仿宋_GB2312" w:eastAsia="仿宋_GB2312" w:cs="仿宋_GB2312"/>
                <w:sz w:val="18"/>
                <w:szCs w:val="18"/>
                <w:highlight w:val="none"/>
              </w:rPr>
              <w:t>暴发性或危险性病虫害防治费用给付（人民政府）</w:t>
            </w:r>
          </w:p>
        </w:tc>
        <w:tc>
          <w:tcPr>
            <w:tcW w:w="702" w:type="dxa"/>
            <w:noWrap w:val="0"/>
            <w:vAlign w:val="center"/>
          </w:tcPr>
          <w:p w14:paraId="2B6EA267">
            <w:pPr>
              <w:jc w:val="both"/>
              <w:rPr>
                <w:rFonts w:hint="eastAsia" w:ascii="仿宋_GB2312" w:hAnsi="仿宋_GB2312" w:eastAsia="仿宋_GB2312" w:cs="仿宋_GB2312"/>
                <w:kern w:val="2"/>
                <w:sz w:val="18"/>
                <w:szCs w:val="18"/>
                <w:highlight w:val="none"/>
                <w:vertAlign w:val="baseline"/>
                <w:lang w:val="en-US" w:eastAsia="zh-CN" w:bidi="ar-SA"/>
              </w:rPr>
            </w:pPr>
          </w:p>
        </w:tc>
        <w:tc>
          <w:tcPr>
            <w:tcW w:w="608" w:type="dxa"/>
            <w:noWrap w:val="0"/>
            <w:vAlign w:val="center"/>
          </w:tcPr>
          <w:p w14:paraId="22134CF7">
            <w:pPr>
              <w:keepNext w:val="0"/>
              <w:keepLines w:val="0"/>
              <w:pageBreakBefore w:val="0"/>
              <w:kinsoku/>
              <w:wordWrap/>
              <w:overflowPunct/>
              <w:topLinePunct w:val="0"/>
              <w:autoSpaceDE/>
              <w:bidi w:val="0"/>
              <w:adjustRightInd w:val="0"/>
              <w:snapToGrid w:val="0"/>
              <w:spacing w:line="240" w:lineRule="auto"/>
              <w:jc w:val="left"/>
              <w:textAlignment w:val="auto"/>
              <w:outlineLvl w:val="9"/>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lang w:val="en-US" w:eastAsia="zh-CN"/>
              </w:rPr>
              <w:t>0</w:t>
            </w:r>
            <w:r>
              <w:rPr>
                <w:rFonts w:hint="eastAsia" w:ascii="仿宋_GB2312" w:hAnsi="仿宋_GB2312" w:cs="仿宋_GB2312"/>
                <w:color w:val="auto"/>
                <w:kern w:val="0"/>
                <w:sz w:val="18"/>
                <w:szCs w:val="18"/>
                <w:highlight w:val="none"/>
                <w:lang w:val="en-US" w:eastAsia="zh-CN"/>
              </w:rPr>
              <w:t>5</w:t>
            </w:r>
            <w:r>
              <w:rPr>
                <w:rFonts w:hint="eastAsia" w:ascii="仿宋_GB2312" w:hAnsi="仿宋_GB2312" w:eastAsia="仿宋_GB2312" w:cs="仿宋_GB2312"/>
                <w:color w:val="auto"/>
                <w:kern w:val="0"/>
                <w:sz w:val="18"/>
                <w:szCs w:val="18"/>
                <w:highlight w:val="none"/>
                <w:lang w:val="en-US" w:eastAsia="zh-CN"/>
              </w:rPr>
              <w:t>B1</w:t>
            </w:r>
            <w:r>
              <w:rPr>
                <w:rFonts w:hint="eastAsia" w:ascii="仿宋_GB2312" w:hAnsi="仿宋_GB2312" w:cs="仿宋_GB2312"/>
                <w:color w:val="auto"/>
                <w:kern w:val="0"/>
                <w:sz w:val="18"/>
                <w:szCs w:val="18"/>
                <w:highlight w:val="none"/>
                <w:lang w:val="en-US" w:eastAsia="zh-CN"/>
              </w:rPr>
              <w:t>403</w:t>
            </w:r>
            <w:r>
              <w:rPr>
                <w:rFonts w:hint="eastAsia" w:ascii="仿宋_GB2312" w:hAnsi="仿宋_GB2312" w:eastAsia="仿宋_GB2312" w:cs="仿宋_GB2312"/>
                <w:color w:val="auto"/>
                <w:kern w:val="0"/>
                <w:sz w:val="18"/>
                <w:szCs w:val="18"/>
                <w:highlight w:val="none"/>
                <w:lang w:val="en-US" w:eastAsia="zh-CN"/>
              </w:rPr>
              <w:t>000</w:t>
            </w:r>
          </w:p>
        </w:tc>
        <w:tc>
          <w:tcPr>
            <w:tcW w:w="2145" w:type="dxa"/>
            <w:noWrap w:val="0"/>
            <w:vAlign w:val="center"/>
          </w:tcPr>
          <w:p w14:paraId="1544567E">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w:t>
            </w:r>
          </w:p>
          <w:p w14:paraId="0072552E">
            <w:pPr>
              <w:adjustRightInd w:val="0"/>
              <w:snapToGrid w:val="0"/>
              <w:jc w:val="left"/>
              <w:rPr>
                <w:rFonts w:hint="eastAsia" w:ascii="仿宋_GB2312" w:hAnsi="仿宋_GB2312" w:eastAsia="仿宋_GB2312" w:cs="仿宋_GB2312"/>
                <w:sz w:val="18"/>
                <w:szCs w:val="18"/>
                <w:highlight w:val="none"/>
              </w:rPr>
            </w:pPr>
          </w:p>
          <w:p w14:paraId="710C4FD1">
            <w:pPr>
              <w:adjustRightInd w:val="0"/>
              <w:snapToGrid w:val="0"/>
              <w:ind w:firstLine="360" w:firstLineChars="200"/>
              <w:jc w:val="left"/>
              <w:rPr>
                <w:rFonts w:hint="eastAsia" w:ascii="仿宋_GB2312" w:hAnsi="仿宋_GB2312" w:eastAsia="仿宋_GB2312" w:cs="仿宋_GB2312"/>
                <w:sz w:val="18"/>
                <w:szCs w:val="18"/>
                <w:highlight w:val="none"/>
              </w:rPr>
            </w:pPr>
          </w:p>
          <w:p w14:paraId="0D4428F2">
            <w:pPr>
              <w:adjustRightInd w:val="0"/>
              <w:snapToGrid w:val="0"/>
              <w:ind w:firstLine="360" w:firstLineChars="200"/>
              <w:jc w:val="left"/>
              <w:rPr>
                <w:rFonts w:hint="eastAsia" w:ascii="仿宋_GB2312" w:hAnsi="仿宋_GB2312" w:eastAsia="仿宋_GB2312" w:cs="仿宋_GB2312"/>
                <w:sz w:val="18"/>
                <w:szCs w:val="18"/>
                <w:highlight w:val="none"/>
              </w:rPr>
            </w:pPr>
          </w:p>
          <w:p w14:paraId="582ECF5E">
            <w:pPr>
              <w:adjustRightInd w:val="0"/>
              <w:snapToGrid w:val="0"/>
              <w:ind w:firstLine="360" w:firstLineChars="200"/>
              <w:jc w:val="left"/>
              <w:rPr>
                <w:rFonts w:hint="eastAsia" w:ascii="仿宋_GB2312" w:hAnsi="仿宋_GB2312" w:eastAsia="仿宋_GB2312" w:cs="仿宋_GB2312"/>
                <w:sz w:val="18"/>
                <w:szCs w:val="18"/>
                <w:highlight w:val="none"/>
              </w:rPr>
            </w:pPr>
          </w:p>
          <w:p w14:paraId="74D7F36D">
            <w:pPr>
              <w:adjustRightInd w:val="0"/>
              <w:snapToGrid w:val="0"/>
              <w:ind w:firstLine="360" w:firstLineChars="200"/>
              <w:jc w:val="left"/>
              <w:rPr>
                <w:rFonts w:hint="eastAsia" w:ascii="仿宋_GB2312" w:hAnsi="仿宋_GB2312" w:eastAsia="仿宋_GB2312" w:cs="仿宋_GB2312"/>
                <w:sz w:val="18"/>
                <w:szCs w:val="18"/>
                <w:highlight w:val="none"/>
              </w:rPr>
            </w:pPr>
          </w:p>
          <w:p w14:paraId="0F1BCD81">
            <w:pPr>
              <w:adjustRightInd w:val="0"/>
              <w:snapToGrid w:val="0"/>
              <w:ind w:firstLine="360" w:firstLineChars="200"/>
              <w:jc w:val="left"/>
              <w:rPr>
                <w:rFonts w:hint="eastAsia" w:ascii="仿宋_GB2312" w:hAnsi="仿宋_GB2312" w:eastAsia="仿宋_GB2312" w:cs="仿宋_GB2312"/>
                <w:sz w:val="18"/>
                <w:szCs w:val="18"/>
                <w:highlight w:val="none"/>
              </w:rPr>
            </w:pPr>
          </w:p>
          <w:p w14:paraId="20600863">
            <w:pPr>
              <w:adjustRightInd w:val="0"/>
              <w:snapToGrid w:val="0"/>
              <w:ind w:firstLine="360" w:firstLineChars="200"/>
              <w:jc w:val="left"/>
              <w:rPr>
                <w:rFonts w:hint="eastAsia" w:ascii="仿宋_GB2312" w:hAnsi="仿宋_GB2312" w:eastAsia="仿宋_GB2312" w:cs="仿宋_GB2312"/>
                <w:sz w:val="18"/>
                <w:szCs w:val="18"/>
                <w:highlight w:val="none"/>
              </w:rPr>
            </w:pPr>
          </w:p>
          <w:p w14:paraId="70C91F6D">
            <w:pPr>
              <w:adjustRightInd w:val="0"/>
              <w:snapToGrid w:val="0"/>
              <w:ind w:firstLine="360" w:firstLineChars="200"/>
              <w:jc w:val="left"/>
              <w:rPr>
                <w:rFonts w:hint="eastAsia" w:ascii="仿宋_GB2312" w:hAnsi="仿宋_GB2312" w:eastAsia="仿宋_GB2312" w:cs="仿宋_GB2312"/>
                <w:sz w:val="18"/>
                <w:szCs w:val="18"/>
                <w:highlight w:val="none"/>
              </w:rPr>
            </w:pPr>
          </w:p>
          <w:p w14:paraId="48F43FCD">
            <w:pPr>
              <w:adjustRightInd w:val="0"/>
              <w:snapToGrid w:val="0"/>
              <w:ind w:firstLine="360" w:firstLineChars="20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【行政法规】《森林病虫害防治条例》（1989年国务院令第46号）</w:t>
            </w:r>
          </w:p>
          <w:p w14:paraId="6C1EF86D">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第十九条 森林病虫害防治费用，全民所有的森林和林木，依照国家有关规定，分别从育林基金、木竹销售收入、多种经营收入和事业费用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w:t>
            </w:r>
          </w:p>
          <w:p w14:paraId="0FC0AC0E">
            <w:pPr>
              <w:adjustRightInd w:val="0"/>
              <w:snapToGrid w:val="0"/>
              <w:jc w:val="left"/>
              <w:rPr>
                <w:rFonts w:hint="eastAsia" w:ascii="仿宋_GB2312" w:hAnsi="仿宋_GB2312" w:eastAsia="仿宋_GB2312" w:cs="仿宋_GB2312"/>
                <w:sz w:val="18"/>
                <w:szCs w:val="18"/>
                <w:highlight w:val="none"/>
              </w:rPr>
            </w:pPr>
          </w:p>
          <w:p w14:paraId="73ED08D0">
            <w:pPr>
              <w:adjustRightInd w:val="0"/>
              <w:snapToGrid w:val="0"/>
              <w:jc w:val="left"/>
              <w:rPr>
                <w:rFonts w:hint="eastAsia" w:ascii="仿宋_GB2312" w:hAnsi="仿宋_GB2312" w:eastAsia="仿宋_GB2312" w:cs="仿宋_GB2312"/>
                <w:sz w:val="18"/>
                <w:szCs w:val="18"/>
                <w:highlight w:val="none"/>
              </w:rPr>
            </w:pPr>
          </w:p>
          <w:p w14:paraId="1F9EC5B9">
            <w:pPr>
              <w:adjustRightInd w:val="0"/>
              <w:snapToGrid w:val="0"/>
              <w:jc w:val="left"/>
              <w:rPr>
                <w:rFonts w:hint="eastAsia" w:ascii="仿宋_GB2312" w:hAnsi="仿宋_GB2312" w:eastAsia="仿宋_GB2312" w:cs="仿宋_GB2312"/>
                <w:sz w:val="18"/>
                <w:szCs w:val="18"/>
                <w:highlight w:val="none"/>
              </w:rPr>
            </w:pPr>
          </w:p>
          <w:p w14:paraId="294EF6DD">
            <w:pPr>
              <w:adjustRightInd w:val="0"/>
              <w:snapToGrid w:val="0"/>
              <w:jc w:val="left"/>
              <w:rPr>
                <w:rFonts w:hint="eastAsia" w:ascii="仿宋_GB2312" w:hAnsi="仿宋_GB2312" w:eastAsia="仿宋_GB2312" w:cs="仿宋_GB2312"/>
                <w:sz w:val="18"/>
                <w:szCs w:val="18"/>
                <w:highlight w:val="none"/>
              </w:rPr>
            </w:pPr>
          </w:p>
          <w:p w14:paraId="121F38D0">
            <w:pPr>
              <w:adjustRightInd w:val="0"/>
              <w:snapToGrid w:val="0"/>
              <w:jc w:val="left"/>
              <w:rPr>
                <w:rFonts w:hint="eastAsia" w:ascii="仿宋_GB2312" w:hAnsi="仿宋_GB2312" w:eastAsia="仿宋_GB2312" w:cs="仿宋_GB2312"/>
                <w:sz w:val="18"/>
                <w:szCs w:val="18"/>
                <w:highlight w:val="none"/>
              </w:rPr>
            </w:pPr>
          </w:p>
          <w:p w14:paraId="493997C0">
            <w:pPr>
              <w:adjustRightInd w:val="0"/>
              <w:snapToGrid w:val="0"/>
              <w:jc w:val="left"/>
              <w:rPr>
                <w:rFonts w:hint="eastAsia" w:ascii="仿宋_GB2312" w:hAnsi="仿宋_GB2312" w:eastAsia="仿宋_GB2312" w:cs="仿宋_GB2312"/>
                <w:sz w:val="18"/>
                <w:szCs w:val="18"/>
                <w:highlight w:val="none"/>
              </w:rPr>
            </w:pPr>
          </w:p>
          <w:p w14:paraId="6C2EA8F5">
            <w:pPr>
              <w:adjustRightInd w:val="0"/>
              <w:snapToGrid w:val="0"/>
              <w:jc w:val="left"/>
              <w:rPr>
                <w:rFonts w:hint="eastAsia" w:ascii="仿宋_GB2312" w:hAnsi="仿宋_GB2312" w:eastAsia="仿宋_GB2312" w:cs="仿宋_GB2312"/>
                <w:sz w:val="18"/>
                <w:szCs w:val="18"/>
                <w:highlight w:val="none"/>
              </w:rPr>
            </w:pPr>
          </w:p>
          <w:p w14:paraId="2F52E3A5">
            <w:pPr>
              <w:adjustRightInd w:val="0"/>
              <w:snapToGrid w:val="0"/>
              <w:jc w:val="left"/>
              <w:rPr>
                <w:rFonts w:hint="eastAsia" w:ascii="仿宋_GB2312" w:hAnsi="仿宋_GB2312" w:eastAsia="仿宋_GB2312" w:cs="仿宋_GB2312"/>
                <w:sz w:val="18"/>
                <w:szCs w:val="18"/>
                <w:highlight w:val="none"/>
              </w:rPr>
            </w:pPr>
          </w:p>
          <w:p w14:paraId="02CD4D13">
            <w:pPr>
              <w:adjustRightInd w:val="0"/>
              <w:snapToGrid w:val="0"/>
              <w:jc w:val="left"/>
              <w:rPr>
                <w:rFonts w:hint="eastAsia" w:ascii="仿宋_GB2312" w:hAnsi="仿宋_GB2312" w:eastAsia="仿宋_GB2312" w:cs="仿宋_GB2312"/>
                <w:sz w:val="18"/>
                <w:szCs w:val="18"/>
                <w:highlight w:val="none"/>
              </w:rPr>
            </w:pPr>
          </w:p>
          <w:p w14:paraId="51F9ED27">
            <w:pPr>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p>
        </w:tc>
        <w:tc>
          <w:tcPr>
            <w:tcW w:w="608" w:type="dxa"/>
            <w:noWrap w:val="0"/>
            <w:vAlign w:val="center"/>
          </w:tcPr>
          <w:p w14:paraId="2335CBAB">
            <w:pPr>
              <w:adjustRightInd w:val="0"/>
              <w:snapToGrid w:val="0"/>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FF0000"/>
                <w:sz w:val="18"/>
                <w:szCs w:val="18"/>
                <w:highlight w:val="none"/>
              </w:rPr>
              <w:t>暴发性或危险性病虫害防治费用给付（人民政府）</w:t>
            </w:r>
          </w:p>
        </w:tc>
        <w:tc>
          <w:tcPr>
            <w:tcW w:w="1291" w:type="dxa"/>
            <w:noWrap w:val="0"/>
            <w:vAlign w:val="center"/>
          </w:tcPr>
          <w:p w14:paraId="717A5AC0">
            <w:pPr>
              <w:shd w:val="clear" w:color="auto" w:fill="FFFFFF"/>
              <w:adjustRightInd w:val="0"/>
              <w:snapToGrid w:val="0"/>
              <w:rPr>
                <w:rFonts w:hint="eastAsia" w:ascii="仿宋_GB2312" w:hAnsi="仿宋_GB2312" w:eastAsia="仿宋_GB2312" w:cs="仿宋_GB2312"/>
                <w:sz w:val="18"/>
                <w:szCs w:val="18"/>
                <w:highlight w:val="none"/>
              </w:rPr>
            </w:pPr>
          </w:p>
          <w:p w14:paraId="02EBB65C">
            <w:pPr>
              <w:shd w:val="clear" w:color="auto" w:fill="FFFFFF"/>
              <w:adjustRightInd w:val="0"/>
              <w:snapToGrid w:val="0"/>
              <w:rPr>
                <w:rFonts w:hint="eastAsia" w:ascii="仿宋_GB2312" w:hAnsi="仿宋_GB2312" w:eastAsia="仿宋_GB2312" w:cs="仿宋_GB2312"/>
                <w:sz w:val="18"/>
                <w:szCs w:val="18"/>
                <w:highlight w:val="none"/>
              </w:rPr>
            </w:pPr>
          </w:p>
          <w:p w14:paraId="47E5D21F">
            <w:pPr>
              <w:shd w:val="clear" w:color="auto" w:fill="FFFFFF"/>
              <w:adjustRightInd w:val="0"/>
              <w:snapToGrid w:val="0"/>
              <w:rPr>
                <w:rFonts w:hint="eastAsia" w:ascii="仿宋_GB2312" w:hAnsi="仿宋_GB2312" w:eastAsia="仿宋_GB2312" w:cs="仿宋_GB2312"/>
                <w:sz w:val="18"/>
                <w:szCs w:val="18"/>
                <w:highlight w:val="none"/>
              </w:rPr>
            </w:pPr>
          </w:p>
          <w:p w14:paraId="33371035">
            <w:pPr>
              <w:shd w:val="clear" w:color="auto" w:fill="FFFFFF"/>
              <w:adjustRightInd w:val="0"/>
              <w:snapToGrid w:val="0"/>
              <w:rPr>
                <w:rFonts w:hint="eastAsia" w:ascii="仿宋_GB2312" w:hAnsi="仿宋_GB2312" w:eastAsia="仿宋_GB2312" w:cs="仿宋_GB2312"/>
                <w:sz w:val="18"/>
                <w:szCs w:val="18"/>
                <w:highlight w:val="none"/>
              </w:rPr>
            </w:pPr>
          </w:p>
          <w:p w14:paraId="0429351B">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5A2FBC8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2.审查责任：按照法定程序和条件，对提交材料进行审查，提出审核意见。</w:t>
            </w:r>
          </w:p>
          <w:p w14:paraId="185337C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3.决定责任：对符合条件的，予以给付。对不符合条件的不予给付，说明理由。</w:t>
            </w:r>
          </w:p>
          <w:p w14:paraId="46EA6B5A">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61968F1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5.其他法律法规规章文件规定应履行的责任。</w:t>
            </w:r>
          </w:p>
          <w:p w14:paraId="623AD22F">
            <w:pPr>
              <w:shd w:val="clear" w:color="auto" w:fill="FFFFFF"/>
              <w:adjustRightInd w:val="0"/>
              <w:snapToGrid w:val="0"/>
              <w:rPr>
                <w:rFonts w:hint="eastAsia" w:ascii="仿宋_GB2312" w:hAnsi="仿宋_GB2312" w:eastAsia="仿宋_GB2312" w:cs="仿宋_GB2312"/>
                <w:sz w:val="18"/>
                <w:szCs w:val="18"/>
                <w:highlight w:val="none"/>
              </w:rPr>
            </w:pPr>
          </w:p>
          <w:p w14:paraId="1EAEB063">
            <w:pPr>
              <w:shd w:val="clear" w:color="auto" w:fill="FFFFFF"/>
              <w:adjustRightInd w:val="0"/>
              <w:snapToGrid w:val="0"/>
              <w:rPr>
                <w:rFonts w:hint="eastAsia" w:ascii="仿宋_GB2312" w:hAnsi="仿宋_GB2312" w:eastAsia="仿宋_GB2312" w:cs="仿宋_GB2312"/>
                <w:sz w:val="18"/>
                <w:szCs w:val="18"/>
                <w:highlight w:val="none"/>
              </w:rPr>
            </w:pPr>
          </w:p>
          <w:p w14:paraId="1E23B4CD">
            <w:pPr>
              <w:shd w:val="clear" w:color="auto" w:fill="FFFFFF"/>
              <w:adjustRightInd w:val="0"/>
              <w:snapToGrid w:val="0"/>
              <w:rPr>
                <w:rFonts w:hint="eastAsia" w:ascii="仿宋_GB2312" w:hAnsi="仿宋_GB2312" w:eastAsia="仿宋_GB2312" w:cs="仿宋_GB2312"/>
                <w:sz w:val="18"/>
                <w:szCs w:val="18"/>
                <w:highlight w:val="none"/>
              </w:rPr>
            </w:pPr>
          </w:p>
          <w:p w14:paraId="446B4CF5">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c>
          <w:tcPr>
            <w:tcW w:w="2165" w:type="dxa"/>
            <w:noWrap w:val="0"/>
            <w:vAlign w:val="center"/>
          </w:tcPr>
          <w:p w14:paraId="1C9DB3AE">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1</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第三十条</w:t>
            </w:r>
            <w:r>
              <w:rPr>
                <w:rFonts w:hint="eastAsia" w:ascii="仿宋_GB2312" w:hAnsi="仿宋_GB2312" w:eastAsia="仿宋_GB2312" w:cs="仿宋_GB2312"/>
                <w:sz w:val="18"/>
                <w:szCs w:val="18"/>
                <w:highlight w:val="none"/>
              </w:rPr>
              <w:t>“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9784855">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2</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第三十四条</w:t>
            </w:r>
            <w:r>
              <w:rPr>
                <w:rFonts w:hint="eastAsia" w:ascii="仿宋_GB2312" w:hAnsi="仿宋_GB2312" w:eastAsia="仿宋_GB2312" w:cs="仿宋_GB2312"/>
                <w:sz w:val="18"/>
                <w:szCs w:val="18"/>
                <w:highlight w:val="none"/>
              </w:rPr>
              <w:t>“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F8C0254">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FF"/>
                <w:sz w:val="18"/>
                <w:szCs w:val="18"/>
                <w:highlight w:val="none"/>
                <w:lang w:val="en-US" w:eastAsia="zh-CN"/>
              </w:rPr>
              <w:t>3</w:t>
            </w:r>
            <w:r>
              <w:rPr>
                <w:rFonts w:hint="eastAsia" w:ascii="仿宋_GB2312" w:hAnsi="仿宋_GB2312" w:eastAsia="仿宋_GB2312" w:cs="仿宋_GB2312"/>
                <w:color w:val="0000FF"/>
                <w:sz w:val="18"/>
                <w:szCs w:val="18"/>
                <w:highlight w:val="none"/>
              </w:rPr>
              <w:t>.</w:t>
            </w:r>
            <w:r>
              <w:rPr>
                <w:rFonts w:hint="eastAsia" w:ascii="仿宋_GB2312" w:hAnsi="仿宋_GB2312" w:eastAsia="仿宋_GB2312" w:cs="仿宋_GB2312"/>
                <w:color w:val="0000FF"/>
                <w:sz w:val="18"/>
                <w:szCs w:val="18"/>
                <w:highlight w:val="none"/>
                <w:lang w:eastAsia="zh-CN"/>
              </w:rPr>
              <w:t>《中华人民共和国行政许可法》</w:t>
            </w:r>
            <w:r>
              <w:rPr>
                <w:rFonts w:hint="eastAsia" w:ascii="仿宋_GB2312" w:hAnsi="仿宋_GB2312" w:eastAsia="仿宋_GB2312" w:cs="仿宋_GB2312"/>
                <w:color w:val="0000FF"/>
                <w:sz w:val="18"/>
                <w:szCs w:val="18"/>
                <w:highlight w:val="none"/>
              </w:rPr>
              <w:t>第三十七条</w:t>
            </w:r>
            <w:r>
              <w:rPr>
                <w:rFonts w:hint="eastAsia" w:ascii="仿宋_GB2312" w:hAnsi="仿宋_GB2312" w:eastAsia="仿宋_GB2312" w:cs="仿宋_GB2312"/>
                <w:sz w:val="18"/>
                <w:szCs w:val="18"/>
                <w:highlight w:val="none"/>
              </w:rPr>
              <w:t>“行政机关对行政许可申请进行审查后，除当场作出行政许可决定的外，应当在法定期限内按照规定程序作出行政许可决定。”</w:t>
            </w:r>
          </w:p>
          <w:p w14:paraId="3102981C">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0000CC"/>
                <w:sz w:val="18"/>
                <w:szCs w:val="18"/>
                <w:highlight w:val="none"/>
              </w:rPr>
              <w:t>4.</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第六十一条。</w:t>
            </w:r>
            <w:r>
              <w:rPr>
                <w:rFonts w:hint="eastAsia" w:ascii="仿宋_GB2312" w:hAnsi="仿宋_GB2312" w:eastAsia="仿宋_GB2312" w:cs="仿宋_GB2312"/>
                <w:sz w:val="18"/>
                <w:szCs w:val="18"/>
                <w:highlight w:val="none"/>
              </w:rPr>
              <w:t>“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101" w:type="dxa"/>
            <w:noWrap w:val="0"/>
            <w:vAlign w:val="center"/>
          </w:tcPr>
          <w:p w14:paraId="365EC810">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6AF8A97F">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1.对符合受理条件的申请不予受理的；</w:t>
            </w:r>
          </w:p>
          <w:p w14:paraId="164B827B">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2.未严格履行审查责任的；</w:t>
            </w:r>
          </w:p>
          <w:p w14:paraId="360939CE">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3.不依法履行监督职责或者监督不力的；</w:t>
            </w:r>
          </w:p>
          <w:p w14:paraId="2BD5F608">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4.滥用职权、徇私舞弊、玩忽职守的；</w:t>
            </w:r>
          </w:p>
          <w:p w14:paraId="12674A6D">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5.索贿、受贿，谋取不正当利益的；</w:t>
            </w:r>
          </w:p>
          <w:p w14:paraId="1D9F3200">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6.未按裁量权规定，滥用裁量权的；</w:t>
            </w:r>
          </w:p>
          <w:p w14:paraId="79CF241F">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7.其他违反法律法规规章文件规定的行为。</w:t>
            </w:r>
          </w:p>
        </w:tc>
        <w:tc>
          <w:tcPr>
            <w:tcW w:w="2088" w:type="dxa"/>
            <w:noWrap w:val="0"/>
            <w:vAlign w:val="center"/>
          </w:tcPr>
          <w:p w14:paraId="430DAFA4">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1.《宁夏回族自治区行政责任追究办法》第十七条“行政机关及其工作人员在实施行政确认过程中有下列情形之一的，应当追究其行政责任：（一）无正当理由不受理或者拖延受理行政确认申请的；”</w:t>
            </w:r>
          </w:p>
          <w:p w14:paraId="4A8AC59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七条“行政机关及其工作人员在实施行政确认过程中有下列情形之一的，应当追究其行政责任：（二）超越权限实施行政确认，或者将同一确认事项给予两个以上申请人并重复出具确认证书，造成不良后果的；”</w:t>
            </w:r>
          </w:p>
          <w:p w14:paraId="7CEAF11A">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七条“行政机关及其工作人员在实施行政确认过程中有下列情形之一的，应当追究其行政责任：（三）行政确认程序违法，或者根据不确凿、不充分的证据作出行政确认，造成不良后果的；”</w:t>
            </w:r>
            <w:r>
              <w:rPr>
                <w:rFonts w:hint="eastAsia" w:ascii="仿宋_GB2312" w:hAnsi="仿宋_GB2312" w:eastAsia="仿宋_GB2312" w:cs="仿宋_GB2312"/>
                <w:sz w:val="18"/>
                <w:szCs w:val="18"/>
                <w:highlight w:val="none"/>
              </w:rPr>
              <w:br w:type="textWrapping"/>
            </w:r>
            <w:r>
              <w:rPr>
                <w:rFonts w:hint="eastAsia" w:ascii="仿宋_GB2312" w:hAnsi="仿宋_GB2312" w:eastAsia="仿宋_GB2312" w:cs="仿宋_GB2312"/>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4F04758F">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5.《宁夏回族自治区行政程序规定》第二十条“(四)不履行或者拖延履行法定职责的；”</w:t>
            </w:r>
          </w:p>
          <w:p w14:paraId="5FD50767">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6.《宁夏回族自治区行政程序规定》第二十条“(九)违反本规定的其他情形。”</w:t>
            </w:r>
          </w:p>
        </w:tc>
        <w:tc>
          <w:tcPr>
            <w:tcW w:w="1633" w:type="dxa"/>
            <w:noWrap w:val="0"/>
            <w:vAlign w:val="center"/>
          </w:tcPr>
          <w:p w14:paraId="7C73543B">
            <w:pPr>
              <w:shd w:val="clear" w:color="auto" w:fill="FFFFFF"/>
              <w:adjustRightInd w:val="0"/>
              <w:snapToGrid w:val="0"/>
              <w:rPr>
                <w:rFonts w:hint="eastAsia" w:ascii="仿宋_GB2312" w:hAnsi="仿宋_GB2312" w:eastAsia="仿宋_GB2312" w:cs="仿宋_GB2312"/>
                <w:sz w:val="18"/>
                <w:szCs w:val="18"/>
                <w:highlight w:val="none"/>
              </w:rPr>
            </w:pPr>
          </w:p>
          <w:p w14:paraId="7E4CEEE3">
            <w:pPr>
              <w:shd w:val="clear" w:color="auto" w:fill="FFFFFF"/>
              <w:adjustRightInd w:val="0"/>
              <w:snapToGrid w:val="0"/>
              <w:rPr>
                <w:rFonts w:hint="eastAsia" w:ascii="仿宋_GB2312" w:hAnsi="仿宋_GB2312" w:eastAsia="仿宋_GB2312" w:cs="仿宋_GB2312"/>
                <w:sz w:val="18"/>
                <w:szCs w:val="18"/>
                <w:highlight w:val="none"/>
              </w:rPr>
            </w:pPr>
          </w:p>
          <w:p w14:paraId="65880612">
            <w:pPr>
              <w:shd w:val="clear" w:color="auto" w:fill="FFFFFF"/>
              <w:adjustRightInd w:val="0"/>
              <w:snapToGrid w:val="0"/>
              <w:rPr>
                <w:rFonts w:hint="eastAsia" w:ascii="仿宋_GB2312" w:hAnsi="仿宋_GB2312" w:eastAsia="仿宋_GB2312" w:cs="仿宋_GB2312"/>
                <w:sz w:val="18"/>
                <w:szCs w:val="18"/>
                <w:highlight w:val="none"/>
              </w:rPr>
            </w:pPr>
          </w:p>
          <w:p w14:paraId="3E1D70D7">
            <w:pPr>
              <w:shd w:val="clear" w:color="auto" w:fill="FFFFFF"/>
              <w:adjustRightInd w:val="0"/>
              <w:snapToGrid w:val="0"/>
              <w:rPr>
                <w:rFonts w:hint="eastAsia" w:ascii="仿宋_GB2312" w:hAnsi="仿宋_GB2312" w:eastAsia="仿宋_GB2312" w:cs="仿宋_GB2312"/>
                <w:sz w:val="18"/>
                <w:szCs w:val="18"/>
                <w:highlight w:val="none"/>
              </w:rPr>
            </w:pPr>
          </w:p>
          <w:p w14:paraId="57DA2E5F">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EB976E5">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7886A590">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7F070246">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702E9B8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6B073190">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5.其他法律法规规章文件规定的责任承担方式。</w:t>
            </w:r>
          </w:p>
        </w:tc>
        <w:tc>
          <w:tcPr>
            <w:tcW w:w="2554" w:type="dxa"/>
            <w:noWrap w:val="0"/>
            <w:vAlign w:val="center"/>
          </w:tcPr>
          <w:p w14:paraId="6196AF76">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4DC11C1">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EFDDB66">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46648DE3">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5519E344">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17A3FAE9">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lang w:val="en-US" w:eastAsia="zh-CN"/>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1A94048">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r>
      <w:tr w14:paraId="6BF1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64B3BC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4</w:t>
            </w:r>
          </w:p>
        </w:tc>
        <w:tc>
          <w:tcPr>
            <w:tcW w:w="614" w:type="dxa"/>
            <w:noWrap w:val="0"/>
            <w:vAlign w:val="center"/>
          </w:tcPr>
          <w:p w14:paraId="615FDADF">
            <w:pPr>
              <w:adjustRightInd w:val="0"/>
              <w:snapToGrid w:val="0"/>
              <w:jc w:val="left"/>
              <w:rPr>
                <w:rFonts w:ascii="Calibri" w:hAnsi="Calibri" w:eastAsia="宋体" w:cs="Times New Roman"/>
                <w:kern w:val="2"/>
                <w:sz w:val="21"/>
                <w:szCs w:val="24"/>
                <w:highlight w:val="none"/>
                <w:lang w:val="en-US" w:eastAsia="zh-CN" w:bidi="ar-SA"/>
              </w:rPr>
            </w:pPr>
            <w:r>
              <w:rPr>
                <w:rFonts w:hint="eastAsia" w:ascii="仿宋_GB2312" w:hAnsi="仿宋_GB2312" w:eastAsia="仿宋_GB2312" w:cs="仿宋_GB2312"/>
                <w:sz w:val="18"/>
                <w:szCs w:val="18"/>
                <w:highlight w:val="none"/>
              </w:rPr>
              <w:t>疫情调查和采取消灭措施所需的紧急防治费和补助费给付</w:t>
            </w:r>
          </w:p>
        </w:tc>
        <w:tc>
          <w:tcPr>
            <w:tcW w:w="702" w:type="dxa"/>
            <w:noWrap w:val="0"/>
            <w:vAlign w:val="center"/>
          </w:tcPr>
          <w:p w14:paraId="4E63FD51">
            <w:pPr>
              <w:jc w:val="both"/>
              <w:rPr>
                <w:rFonts w:hint="eastAsia" w:ascii="仿宋_GB2312" w:hAnsi="仿宋_GB2312" w:eastAsia="仿宋_GB2312" w:cs="仿宋_GB2312"/>
                <w:kern w:val="2"/>
                <w:sz w:val="18"/>
                <w:szCs w:val="18"/>
                <w:highlight w:val="none"/>
                <w:vertAlign w:val="baseline"/>
                <w:lang w:val="en-US" w:eastAsia="zh-CN" w:bidi="ar-SA"/>
              </w:rPr>
            </w:pPr>
          </w:p>
        </w:tc>
        <w:tc>
          <w:tcPr>
            <w:tcW w:w="608" w:type="dxa"/>
            <w:noWrap w:val="0"/>
            <w:vAlign w:val="top"/>
          </w:tcPr>
          <w:p w14:paraId="6BFE2A10">
            <w:pPr>
              <w:suppressLineNumbers/>
              <w:suppressAutoHyphens/>
              <w:wordWrap w:val="0"/>
              <w:topLinePunct/>
              <w:spacing w:line="220" w:lineRule="exact"/>
              <w:contextualSpacing/>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lang w:val="en-US" w:eastAsia="zh-CN"/>
              </w:rPr>
              <w:t>0</w:t>
            </w:r>
            <w:r>
              <w:rPr>
                <w:rFonts w:hint="eastAsia" w:ascii="仿宋_GB2312" w:hAnsi="仿宋_GB2312" w:cs="仿宋_GB2312"/>
                <w:color w:val="auto"/>
                <w:kern w:val="0"/>
                <w:sz w:val="18"/>
                <w:szCs w:val="18"/>
                <w:highlight w:val="none"/>
                <w:lang w:val="en-US" w:eastAsia="zh-CN"/>
              </w:rPr>
              <w:t>5</w:t>
            </w:r>
            <w:r>
              <w:rPr>
                <w:rFonts w:hint="eastAsia" w:ascii="仿宋_GB2312" w:hAnsi="仿宋_GB2312" w:eastAsia="仿宋_GB2312" w:cs="仿宋_GB2312"/>
                <w:color w:val="auto"/>
                <w:kern w:val="0"/>
                <w:sz w:val="18"/>
                <w:szCs w:val="18"/>
                <w:highlight w:val="none"/>
                <w:lang w:val="en-US" w:eastAsia="zh-CN"/>
              </w:rPr>
              <w:t>B1</w:t>
            </w:r>
            <w:r>
              <w:rPr>
                <w:rFonts w:hint="eastAsia" w:ascii="仿宋_GB2312" w:hAnsi="仿宋_GB2312" w:cs="仿宋_GB2312"/>
                <w:color w:val="auto"/>
                <w:kern w:val="0"/>
                <w:sz w:val="18"/>
                <w:szCs w:val="18"/>
                <w:highlight w:val="none"/>
                <w:lang w:val="en-US" w:eastAsia="zh-CN"/>
              </w:rPr>
              <w:t>404</w:t>
            </w:r>
            <w:r>
              <w:rPr>
                <w:rFonts w:hint="eastAsia" w:ascii="仿宋_GB2312" w:hAnsi="仿宋_GB2312" w:eastAsia="仿宋_GB2312" w:cs="仿宋_GB2312"/>
                <w:color w:val="auto"/>
                <w:kern w:val="0"/>
                <w:sz w:val="18"/>
                <w:szCs w:val="18"/>
                <w:highlight w:val="none"/>
                <w:lang w:val="en-US" w:eastAsia="zh-CN"/>
              </w:rPr>
              <w:t>000</w:t>
            </w:r>
          </w:p>
        </w:tc>
        <w:tc>
          <w:tcPr>
            <w:tcW w:w="2145" w:type="dxa"/>
            <w:noWrap w:val="0"/>
            <w:vAlign w:val="center"/>
          </w:tcPr>
          <w:p w14:paraId="20620201">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w:t>
            </w:r>
          </w:p>
          <w:p w14:paraId="217CC264">
            <w:pPr>
              <w:adjustRightInd w:val="0"/>
              <w:snapToGrid w:val="0"/>
              <w:ind w:firstLine="360" w:firstLineChars="20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【行政法规】《植物检疫条例》</w:t>
            </w:r>
            <w:r>
              <w:rPr>
                <w:rFonts w:hint="eastAsia" w:ascii="仿宋_GB2312" w:hAnsi="仿宋_GB2312" w:eastAsia="仿宋_GB2312" w:cs="仿宋_GB2312"/>
                <w:color w:val="0000FF"/>
                <w:sz w:val="18"/>
                <w:szCs w:val="18"/>
                <w:highlight w:val="none"/>
              </w:rPr>
              <w:t>（</w:t>
            </w:r>
            <w:r>
              <w:rPr>
                <w:rFonts w:hint="eastAsia" w:ascii="仿宋_GB2312" w:hAnsi="仿宋_GB2312" w:eastAsia="仿宋_GB2312" w:cs="仿宋_GB2312"/>
                <w:color w:val="0000FF"/>
                <w:sz w:val="18"/>
                <w:szCs w:val="18"/>
                <w:highlight w:val="none"/>
                <w:lang w:val="en-US" w:eastAsia="zh-CN"/>
              </w:rPr>
              <w:t>2017</w:t>
            </w:r>
            <w:r>
              <w:rPr>
                <w:rFonts w:hint="eastAsia" w:ascii="仿宋_GB2312" w:hAnsi="仿宋_GB2312" w:eastAsia="仿宋_GB2312" w:cs="仿宋_GB2312"/>
                <w:color w:val="0000FF"/>
                <w:sz w:val="18"/>
                <w:szCs w:val="18"/>
                <w:highlight w:val="none"/>
              </w:rPr>
              <w:t>）</w:t>
            </w:r>
          </w:p>
          <w:p w14:paraId="2113CBA8">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第十六条 按照本条例第五条第一款和第十四条的规定，进行疫情调查和采取消灭措施所需的紧急防治费和补助费，由省、自治区、直辖市在每年的植物保护费、森林保护费或者国营农场生产费中安排。特大疫情的防治费，国家酌情给予补助。</w:t>
            </w:r>
          </w:p>
          <w:p w14:paraId="25218E57">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 xml:space="preserve">    【部门规章】《植物检疫条例实施细则（林业部分）》（2011年国家林业局令第26号修改）</w:t>
            </w:r>
          </w:p>
          <w:p w14:paraId="09122839">
            <w:pPr>
              <w:adjustRightInd w:val="0"/>
              <w:snapToGrid w:val="0"/>
              <w:ind w:firstLine="360" w:firstLineChars="20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第二十七条 按照《植物检疫条例》第十六条的规定，进行疫情调查和采取消灭措施所需的紧急防治费和补助费，由省、自治区、直辖市在每年的农村造林和林木保护补助费中安排。</w:t>
            </w:r>
          </w:p>
          <w:p w14:paraId="6F55F617">
            <w:pPr>
              <w:adjustRightInd w:val="0"/>
              <w:snapToGrid w:val="0"/>
              <w:ind w:firstLine="360" w:firstLineChars="200"/>
              <w:jc w:val="left"/>
              <w:rPr>
                <w:rFonts w:hint="eastAsia" w:ascii="仿宋_GB2312" w:hAnsi="仿宋_GB2312" w:eastAsia="仿宋_GB2312" w:cs="仿宋_GB2312"/>
                <w:sz w:val="18"/>
                <w:szCs w:val="18"/>
                <w:highlight w:val="none"/>
              </w:rPr>
            </w:pPr>
          </w:p>
          <w:p w14:paraId="218F2308">
            <w:pPr>
              <w:adjustRightInd w:val="0"/>
              <w:snapToGrid w:val="0"/>
              <w:ind w:firstLine="360" w:firstLineChars="200"/>
              <w:jc w:val="left"/>
              <w:rPr>
                <w:rFonts w:hint="eastAsia" w:ascii="仿宋_GB2312" w:hAnsi="仿宋_GB2312" w:eastAsia="仿宋_GB2312" w:cs="仿宋_GB2312"/>
                <w:sz w:val="18"/>
                <w:szCs w:val="18"/>
                <w:highlight w:val="none"/>
              </w:rPr>
            </w:pPr>
          </w:p>
          <w:p w14:paraId="7D9078B1">
            <w:pPr>
              <w:adjustRightInd w:val="0"/>
              <w:snapToGrid w:val="0"/>
              <w:ind w:firstLine="360" w:firstLineChars="200"/>
              <w:jc w:val="left"/>
              <w:rPr>
                <w:rFonts w:hint="eastAsia" w:ascii="仿宋_GB2312" w:hAnsi="仿宋_GB2312" w:eastAsia="仿宋_GB2312" w:cs="仿宋_GB2312"/>
                <w:sz w:val="18"/>
                <w:szCs w:val="18"/>
                <w:highlight w:val="none"/>
              </w:rPr>
            </w:pPr>
          </w:p>
          <w:p w14:paraId="5DCF4EF9">
            <w:pPr>
              <w:adjustRightInd w:val="0"/>
              <w:snapToGrid w:val="0"/>
              <w:ind w:firstLine="360" w:firstLineChars="200"/>
              <w:jc w:val="left"/>
              <w:rPr>
                <w:rFonts w:hint="eastAsia" w:ascii="仿宋_GB2312" w:hAnsi="仿宋_GB2312" w:eastAsia="仿宋_GB2312" w:cs="仿宋_GB2312"/>
                <w:sz w:val="18"/>
                <w:szCs w:val="18"/>
                <w:highlight w:val="none"/>
              </w:rPr>
            </w:pPr>
          </w:p>
          <w:p w14:paraId="7AFAAA77">
            <w:pPr>
              <w:adjustRightInd w:val="0"/>
              <w:snapToGrid w:val="0"/>
              <w:ind w:firstLine="360" w:firstLineChars="200"/>
              <w:jc w:val="left"/>
              <w:rPr>
                <w:rFonts w:hint="eastAsia" w:ascii="仿宋_GB2312" w:hAnsi="仿宋_GB2312" w:eastAsia="仿宋_GB2312" w:cs="仿宋_GB2312"/>
                <w:sz w:val="18"/>
                <w:szCs w:val="18"/>
                <w:highlight w:val="none"/>
              </w:rPr>
            </w:pPr>
          </w:p>
          <w:p w14:paraId="2A81D750">
            <w:pPr>
              <w:adjustRightInd w:val="0"/>
              <w:snapToGrid w:val="0"/>
              <w:ind w:firstLine="360" w:firstLineChars="200"/>
              <w:jc w:val="left"/>
              <w:rPr>
                <w:rFonts w:hint="eastAsia" w:ascii="仿宋_GB2312" w:hAnsi="仿宋_GB2312" w:eastAsia="仿宋_GB2312" w:cs="仿宋_GB2312"/>
                <w:sz w:val="18"/>
                <w:szCs w:val="18"/>
                <w:highlight w:val="none"/>
              </w:rPr>
            </w:pPr>
          </w:p>
          <w:p w14:paraId="066CD159">
            <w:pPr>
              <w:adjustRightInd w:val="0"/>
              <w:snapToGrid w:val="0"/>
              <w:ind w:firstLine="360" w:firstLineChars="200"/>
              <w:jc w:val="left"/>
              <w:rPr>
                <w:rFonts w:hint="eastAsia" w:ascii="仿宋_GB2312" w:hAnsi="仿宋_GB2312" w:eastAsia="仿宋_GB2312" w:cs="仿宋_GB2312"/>
                <w:kern w:val="2"/>
                <w:sz w:val="18"/>
                <w:szCs w:val="18"/>
                <w:highlight w:val="none"/>
                <w:vertAlign w:val="baseline"/>
                <w:lang w:val="en-US" w:eastAsia="zh-CN" w:bidi="ar-SA"/>
              </w:rPr>
            </w:pPr>
          </w:p>
        </w:tc>
        <w:tc>
          <w:tcPr>
            <w:tcW w:w="608" w:type="dxa"/>
            <w:noWrap w:val="0"/>
            <w:vAlign w:val="center"/>
          </w:tcPr>
          <w:p w14:paraId="539BB979">
            <w:pPr>
              <w:jc w:val="both"/>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疫情调查和采取消灭措施所需的紧急防治费和补助费给付</w:t>
            </w:r>
          </w:p>
        </w:tc>
        <w:tc>
          <w:tcPr>
            <w:tcW w:w="1291" w:type="dxa"/>
            <w:noWrap w:val="0"/>
            <w:vAlign w:val="center"/>
          </w:tcPr>
          <w:p w14:paraId="7464A66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796F265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2.审查责任：按照法定程序和条件，对提交材料进行审查，提出审核意见。</w:t>
            </w:r>
          </w:p>
          <w:p w14:paraId="3FD846F6">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3.决定责任：对符合条件的，予以给付。对不符合条件的不予给付，说明理由。</w:t>
            </w:r>
          </w:p>
          <w:p w14:paraId="1FFE61C1">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62CA6F43">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5.其他法律法规规章文件规定应履行的责任。</w:t>
            </w:r>
          </w:p>
        </w:tc>
        <w:tc>
          <w:tcPr>
            <w:tcW w:w="2165" w:type="dxa"/>
            <w:noWrap w:val="0"/>
            <w:vAlign w:val="center"/>
          </w:tcPr>
          <w:p w14:paraId="2B33B104">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1</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第三十条</w:t>
            </w:r>
            <w:r>
              <w:rPr>
                <w:rFonts w:hint="eastAsia" w:ascii="仿宋_GB2312" w:hAnsi="仿宋_GB2312" w:eastAsia="仿宋_GB2312" w:cs="仿宋_GB2312"/>
                <w:sz w:val="18"/>
                <w:szCs w:val="18"/>
                <w:highlight w:val="none"/>
              </w:rPr>
              <w:t>“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244A509">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2</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第三十四条</w:t>
            </w:r>
            <w:r>
              <w:rPr>
                <w:rFonts w:hint="eastAsia" w:ascii="仿宋_GB2312" w:hAnsi="仿宋_GB2312" w:eastAsia="仿宋_GB2312" w:cs="仿宋_GB2312"/>
                <w:sz w:val="18"/>
                <w:szCs w:val="18"/>
                <w:highlight w:val="none"/>
              </w:rPr>
              <w:t>“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8E223FB">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FF"/>
                <w:sz w:val="18"/>
                <w:szCs w:val="18"/>
                <w:highlight w:val="none"/>
                <w:lang w:val="en-US" w:eastAsia="zh-CN"/>
              </w:rPr>
              <w:t>3</w:t>
            </w:r>
            <w:r>
              <w:rPr>
                <w:rFonts w:hint="eastAsia" w:ascii="仿宋_GB2312" w:hAnsi="仿宋_GB2312" w:eastAsia="仿宋_GB2312" w:cs="仿宋_GB2312"/>
                <w:color w:val="0000FF"/>
                <w:sz w:val="18"/>
                <w:szCs w:val="18"/>
                <w:highlight w:val="none"/>
              </w:rPr>
              <w:t>.</w:t>
            </w:r>
            <w:r>
              <w:rPr>
                <w:rFonts w:hint="eastAsia" w:ascii="仿宋_GB2312" w:hAnsi="仿宋_GB2312" w:eastAsia="仿宋_GB2312" w:cs="仿宋_GB2312"/>
                <w:color w:val="0000FF"/>
                <w:sz w:val="18"/>
                <w:szCs w:val="18"/>
                <w:highlight w:val="none"/>
                <w:lang w:eastAsia="zh-CN"/>
              </w:rPr>
              <w:t>《中华人民共和国行政许可法》</w:t>
            </w:r>
            <w:r>
              <w:rPr>
                <w:rFonts w:hint="eastAsia" w:ascii="仿宋_GB2312" w:hAnsi="仿宋_GB2312" w:eastAsia="仿宋_GB2312" w:cs="仿宋_GB2312"/>
                <w:color w:val="0000FF"/>
                <w:sz w:val="18"/>
                <w:szCs w:val="18"/>
                <w:highlight w:val="none"/>
              </w:rPr>
              <w:t>第三十七条</w:t>
            </w:r>
            <w:r>
              <w:rPr>
                <w:rFonts w:hint="eastAsia" w:ascii="仿宋_GB2312" w:hAnsi="仿宋_GB2312" w:eastAsia="仿宋_GB2312" w:cs="仿宋_GB2312"/>
                <w:sz w:val="18"/>
                <w:szCs w:val="18"/>
                <w:highlight w:val="none"/>
              </w:rPr>
              <w:t>“行政机关对行政许可申请进行审查后，除当场作出行政许可决定的外，应当在法定期限内按照规定程序作出行政许可决定。”</w:t>
            </w:r>
          </w:p>
          <w:p w14:paraId="44F5EA19">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0000CC"/>
                <w:sz w:val="18"/>
                <w:szCs w:val="18"/>
                <w:highlight w:val="none"/>
              </w:rPr>
              <w:t>4.</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第六十一条。</w:t>
            </w:r>
            <w:r>
              <w:rPr>
                <w:rFonts w:hint="eastAsia" w:ascii="仿宋_GB2312" w:hAnsi="仿宋_GB2312" w:eastAsia="仿宋_GB2312" w:cs="仿宋_GB2312"/>
                <w:sz w:val="18"/>
                <w:szCs w:val="18"/>
                <w:highlight w:val="none"/>
              </w:rPr>
              <w:t>“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101" w:type="dxa"/>
            <w:noWrap w:val="0"/>
            <w:vAlign w:val="center"/>
          </w:tcPr>
          <w:p w14:paraId="38781A13">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7D9DF779">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1.对符合受理条件的申请不予受理的；</w:t>
            </w:r>
          </w:p>
          <w:p w14:paraId="10D49D08">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2.未严格履行审查责任的；</w:t>
            </w:r>
          </w:p>
          <w:p w14:paraId="3D81D0A1">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3.不依法履行监督职责或者监督不力的；</w:t>
            </w:r>
          </w:p>
          <w:p w14:paraId="3B8F5F7F">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4.滥用职权、徇私舞弊、玩忽职守的；</w:t>
            </w:r>
          </w:p>
          <w:p w14:paraId="2B1E12AA">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5.索贿、受贿，谋取不正当利益的；</w:t>
            </w:r>
          </w:p>
          <w:p w14:paraId="41489299">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6.未按裁量权规定，滥用裁量权的；</w:t>
            </w:r>
          </w:p>
          <w:p w14:paraId="3C8D820B">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7.其他违反法律法规规章文件规定的行为。</w:t>
            </w:r>
          </w:p>
        </w:tc>
        <w:tc>
          <w:tcPr>
            <w:tcW w:w="2088" w:type="dxa"/>
            <w:noWrap w:val="0"/>
            <w:vAlign w:val="center"/>
          </w:tcPr>
          <w:p w14:paraId="349B4C1E">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1.《宁夏回族自治区行政责任追究办法》第十七条“行政机关及其工作人员在实施行政确认过程中有下列情形之一的，应当追究其行政责任：（一）无正当理由不受理或者拖延受理行政确认申请的；”</w:t>
            </w:r>
          </w:p>
          <w:p w14:paraId="78B64950">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七条“行政机关及其工作人员在实施行政确认过程中有下列情形之一的，应当追究其行政责任：（二）超越权限实施行政确认，或者将同一确认事项给予两个以上申请人并重复出具确认证书，造成不良后果的；”</w:t>
            </w:r>
          </w:p>
          <w:p w14:paraId="3075DB53">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七条“行政机关及其工作人员在实施行政确认过程中有下列情形之一的，应当追究其行政责任：（三）行政确认程序违法，或者根据不确凿、不充分的证据作出行政确认，造成不良后果的；”</w:t>
            </w:r>
            <w:r>
              <w:rPr>
                <w:rFonts w:hint="eastAsia" w:ascii="仿宋_GB2312" w:hAnsi="仿宋_GB2312" w:eastAsia="仿宋_GB2312" w:cs="仿宋_GB2312"/>
                <w:sz w:val="18"/>
                <w:szCs w:val="18"/>
                <w:highlight w:val="none"/>
              </w:rPr>
              <w:br w:type="textWrapping"/>
            </w:r>
            <w:r>
              <w:rPr>
                <w:rFonts w:hint="eastAsia" w:ascii="仿宋_GB2312" w:hAnsi="仿宋_GB2312" w:eastAsia="仿宋_GB2312" w:cs="仿宋_GB2312"/>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7F868E2D">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5.《宁夏回族自治区行政程序规定》第二十条“(四)不履行或者拖延履行法定职责的；”</w:t>
            </w:r>
          </w:p>
          <w:p w14:paraId="1903B26D">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6.《宁夏回族自治区行政程序规定》第二十条“(九)违反本规定的其他情形。”</w:t>
            </w:r>
          </w:p>
        </w:tc>
        <w:tc>
          <w:tcPr>
            <w:tcW w:w="1633" w:type="dxa"/>
            <w:noWrap w:val="0"/>
            <w:vAlign w:val="center"/>
          </w:tcPr>
          <w:p w14:paraId="6DFF4926">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6E1AFFC">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02846796">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606B993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5D68F30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61EB82BC">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5.其他法律法规规章文件规定的责任承担方式。</w:t>
            </w:r>
          </w:p>
        </w:tc>
        <w:tc>
          <w:tcPr>
            <w:tcW w:w="2554" w:type="dxa"/>
            <w:noWrap w:val="0"/>
            <w:vAlign w:val="center"/>
          </w:tcPr>
          <w:p w14:paraId="4765C7B7">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56C1820">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B4FB455">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20A92358">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1B8409DA">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74A87BB5">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lang w:val="en-US" w:eastAsia="zh-CN"/>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5A05B6B">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r>
      <w:tr w14:paraId="0D44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300AB70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w:t>
            </w:r>
          </w:p>
        </w:tc>
        <w:tc>
          <w:tcPr>
            <w:tcW w:w="614" w:type="dxa"/>
            <w:noWrap w:val="0"/>
            <w:vAlign w:val="center"/>
          </w:tcPr>
          <w:p w14:paraId="49CDF0B5">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推广使用林木良种的经济补贴的给付</w:t>
            </w:r>
          </w:p>
        </w:tc>
        <w:tc>
          <w:tcPr>
            <w:tcW w:w="702" w:type="dxa"/>
            <w:noWrap w:val="0"/>
            <w:vAlign w:val="center"/>
          </w:tcPr>
          <w:p w14:paraId="21D35A7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8" w:type="dxa"/>
            <w:noWrap w:val="0"/>
            <w:vAlign w:val="center"/>
          </w:tcPr>
          <w:p w14:paraId="7DC95251">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rPr>
              <w:t>0</w:t>
            </w:r>
            <w:r>
              <w:rPr>
                <w:rFonts w:hint="eastAsia" w:ascii="仿宋_GB2312" w:hAnsi="仿宋_GB2312" w:cs="仿宋_GB2312"/>
                <w:color w:val="auto"/>
                <w:kern w:val="0"/>
                <w:sz w:val="18"/>
                <w:szCs w:val="18"/>
                <w:highlight w:val="none"/>
                <w:lang w:val="en-US" w:eastAsia="zh-CN"/>
              </w:rPr>
              <w:t>5</w:t>
            </w:r>
            <w:r>
              <w:rPr>
                <w:rFonts w:hint="eastAsia" w:ascii="仿宋_GB2312" w:hAnsi="仿宋_GB2312" w:eastAsia="仿宋_GB2312" w:cs="仿宋_GB2312"/>
                <w:color w:val="auto"/>
                <w:kern w:val="0"/>
                <w:sz w:val="18"/>
                <w:szCs w:val="18"/>
                <w:highlight w:val="none"/>
                <w:lang w:val="en-US" w:eastAsia="zh-CN"/>
              </w:rPr>
              <w:t>B1</w:t>
            </w:r>
            <w:r>
              <w:rPr>
                <w:rFonts w:hint="eastAsia" w:ascii="仿宋_GB2312" w:hAnsi="仿宋_GB2312" w:cs="仿宋_GB2312"/>
                <w:color w:val="auto"/>
                <w:kern w:val="0"/>
                <w:sz w:val="18"/>
                <w:szCs w:val="18"/>
                <w:highlight w:val="none"/>
                <w:lang w:val="en-US" w:eastAsia="zh-CN"/>
              </w:rPr>
              <w:t>405</w:t>
            </w:r>
            <w:r>
              <w:rPr>
                <w:rFonts w:hint="eastAsia" w:ascii="仿宋_GB2312" w:hAnsi="仿宋_GB2312" w:eastAsia="仿宋_GB2312" w:cs="仿宋_GB2312"/>
                <w:color w:val="auto"/>
                <w:kern w:val="0"/>
                <w:sz w:val="18"/>
                <w:szCs w:val="18"/>
                <w:highlight w:val="none"/>
                <w:lang w:val="en-US" w:eastAsia="zh-CN"/>
              </w:rPr>
              <w:t>000</w:t>
            </w:r>
          </w:p>
        </w:tc>
        <w:tc>
          <w:tcPr>
            <w:tcW w:w="2145" w:type="dxa"/>
            <w:noWrap w:val="0"/>
            <w:vAlign w:val="center"/>
          </w:tcPr>
          <w:p w14:paraId="6A9FE246">
            <w:pPr>
              <w:keepNext w:val="0"/>
              <w:keepLines w:val="0"/>
              <w:pageBreakBefore w:val="0"/>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w:t>
            </w:r>
            <w:r>
              <w:rPr>
                <w:rFonts w:hint="eastAsia" w:ascii="仿宋_GB2312" w:hAnsi="仿宋_GB2312" w:eastAsia="仿宋_GB2312" w:cs="仿宋_GB2312"/>
                <w:color w:val="FF0000"/>
                <w:sz w:val="18"/>
                <w:szCs w:val="18"/>
                <w:highlight w:val="none"/>
              </w:rPr>
              <w:t>种子法</w:t>
            </w:r>
            <w:r>
              <w:rPr>
                <w:rFonts w:hint="eastAsia" w:ascii="仿宋_GB2312" w:hAnsi="仿宋_GB2312" w:eastAsia="仿宋_GB2312" w:cs="仿宋_GB2312"/>
                <w:color w:val="auto"/>
                <w:sz w:val="18"/>
                <w:szCs w:val="18"/>
                <w:highlight w:val="none"/>
              </w:rPr>
              <w:t>》 （</w:t>
            </w:r>
            <w:r>
              <w:rPr>
                <w:rFonts w:hint="eastAsia" w:ascii="仿宋_GB2312" w:hAnsi="仿宋_GB2312" w:eastAsia="仿宋_GB2312" w:cs="仿宋_GB2312"/>
                <w:color w:val="auto"/>
                <w:sz w:val="18"/>
                <w:szCs w:val="18"/>
                <w:highlight w:val="none"/>
                <w:lang w:val="en-US" w:eastAsia="zh-CN"/>
              </w:rPr>
              <w:t>2021</w:t>
            </w:r>
            <w:r>
              <w:rPr>
                <w:rFonts w:hint="eastAsia" w:ascii="仿宋_GB2312" w:hAnsi="仿宋_GB2312" w:eastAsia="仿宋_GB2312" w:cs="仿宋_GB2312"/>
                <w:color w:val="auto"/>
                <w:sz w:val="18"/>
                <w:szCs w:val="18"/>
                <w:highlight w:val="none"/>
              </w:rPr>
              <w:t>年修订）</w:t>
            </w:r>
          </w:p>
          <w:p w14:paraId="03167591">
            <w:pPr>
              <w:keepNext w:val="0"/>
              <w:keepLines w:val="0"/>
              <w:pageBreakBefore w:val="0"/>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FF0000"/>
                <w:sz w:val="18"/>
                <w:szCs w:val="18"/>
                <w:highlight w:val="none"/>
              </w:rPr>
            </w:pPr>
            <w:r>
              <w:rPr>
                <w:rFonts w:hint="eastAsia" w:ascii="仿宋_GB2312" w:hAnsi="仿宋_GB2312" w:eastAsia="仿宋_GB2312" w:cs="仿宋_GB2312"/>
                <w:color w:val="FF0000"/>
                <w:sz w:val="18"/>
                <w:szCs w:val="18"/>
                <w:highlight w:val="none"/>
              </w:rPr>
              <w:t>第四十四条　国家对推广使用林木良种造林给予扶持。国家投资或者国家投资为主的造林项目和国有林业单位造林，应当根据林业草原主管部门制定的计划使用林木良种。</w:t>
            </w:r>
          </w:p>
          <w:p w14:paraId="0E8154FC">
            <w:pPr>
              <w:keepNext w:val="0"/>
              <w:keepLines w:val="0"/>
              <w:pageBreakBefore w:val="0"/>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【部门规章】 《林木良种推广使用管理办法》（2011年修正） </w:t>
            </w:r>
          </w:p>
          <w:p w14:paraId="6579144D">
            <w:pPr>
              <w:keepNext w:val="0"/>
              <w:keepLines w:val="0"/>
              <w:pageBreakBefore w:val="0"/>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第十四条 县级以上林业行政主管部门应当按照《中华人民共和国农业</w:t>
            </w:r>
            <w:r>
              <w:rPr>
                <w:rFonts w:hint="eastAsia" w:ascii="仿宋_GB2312" w:hAnsi="仿宋_GB2312" w:eastAsia="仿宋_GB2312" w:cs="仿宋_GB2312"/>
                <w:color w:val="auto"/>
                <w:sz w:val="18"/>
                <w:szCs w:val="18"/>
                <w:highlight w:val="none"/>
                <w:lang w:eastAsia="zh-CN"/>
              </w:rPr>
              <w:t>技术</w:t>
            </w:r>
            <w:r>
              <w:rPr>
                <w:rFonts w:hint="eastAsia" w:ascii="仿宋_GB2312" w:hAnsi="仿宋_GB2312" w:eastAsia="仿宋_GB2312" w:cs="仿宋_GB2312"/>
                <w:color w:val="auto"/>
                <w:sz w:val="18"/>
                <w:szCs w:val="18"/>
                <w:highlight w:val="none"/>
              </w:rPr>
              <w:t>推广法》第二十三条的规定，向同级人民政府争取在财政拨款和农业发展基金安排一定比例的资金份额，用于林木良种的推广使用。</w:t>
            </w:r>
          </w:p>
          <w:p w14:paraId="40DA3C5E">
            <w:pPr>
              <w:keepNext w:val="0"/>
              <w:keepLines w:val="0"/>
              <w:pageBreakBefore w:val="0"/>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县级以上林业行政主管部门应当安排适当的资金，用于林木良种的推广使用。</w:t>
            </w:r>
          </w:p>
          <w:p w14:paraId="1C7B2FA7">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任何单位或者个人不得截留或者挪用林木良种推广使用资金。</w:t>
            </w:r>
          </w:p>
        </w:tc>
        <w:tc>
          <w:tcPr>
            <w:tcW w:w="608" w:type="dxa"/>
            <w:noWrap w:val="0"/>
            <w:vAlign w:val="center"/>
          </w:tcPr>
          <w:p w14:paraId="287C7B12">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推广使用林木良种的经济补贴的给付</w:t>
            </w:r>
          </w:p>
        </w:tc>
        <w:tc>
          <w:tcPr>
            <w:tcW w:w="1291" w:type="dxa"/>
            <w:noWrap w:val="0"/>
            <w:vAlign w:val="center"/>
          </w:tcPr>
          <w:p w14:paraId="3B796E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1.受理责任：公示依法应当公示的材料，一次性告知需要补正的材料，依法受理或不予受理（不予受理应当告知理由）。</w:t>
            </w:r>
          </w:p>
          <w:p w14:paraId="3EC576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2.审查责任：按照法定程序和条件，对提交材料进行审查，提出审核意见。</w:t>
            </w:r>
          </w:p>
          <w:p w14:paraId="3ECEDA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3.决定责任：对符合条件的，予以给付。对不符合条件的不予给付，说明理由。</w:t>
            </w:r>
          </w:p>
          <w:p w14:paraId="348214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4.事后监管责任：建立实施监督检查的管理制度和机制，开展定期和不定期检查，依法采取相关处置措施。</w:t>
            </w:r>
          </w:p>
          <w:p w14:paraId="2D7CF33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2165" w:type="dxa"/>
            <w:noWrap w:val="0"/>
            <w:vAlign w:val="center"/>
          </w:tcPr>
          <w:p w14:paraId="5042D81D">
            <w:pPr>
              <w:adjustRightInd w:val="0"/>
              <w:snapToGrid w:val="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F1723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A0987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第三十七条“行政机关对行政许可申请进行审查后，除当场作出行政许可决定的外，应当在法定期限内按照规定程序作出行政许可决定。”</w:t>
            </w:r>
          </w:p>
          <w:p w14:paraId="5F7D048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4.</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101" w:type="dxa"/>
            <w:noWrap w:val="0"/>
            <w:vAlign w:val="center"/>
          </w:tcPr>
          <w:p w14:paraId="16BE03FB">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3B15616">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1.对符合受理条件的申请不予受理的；</w:t>
            </w:r>
          </w:p>
          <w:p w14:paraId="5A22E848">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2.未严格履行审查责任的；</w:t>
            </w:r>
          </w:p>
          <w:p w14:paraId="60AB414F">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3.不依法履行监督职责或者监督不力的；</w:t>
            </w:r>
          </w:p>
          <w:p w14:paraId="245DCFE3">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4.滥用职权、徇私舞弊、玩忽职守的；</w:t>
            </w:r>
          </w:p>
          <w:p w14:paraId="745BF41A">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5.索贿、受贿，谋取不正当利益的；</w:t>
            </w:r>
          </w:p>
          <w:p w14:paraId="379A1803">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6.未按裁量权规定，滥用裁量权的；</w:t>
            </w:r>
          </w:p>
          <w:p w14:paraId="6FC9F3C5">
            <w:pPr>
              <w:widowControl/>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7.其他违反法律法规规章文件规定的行为。</w:t>
            </w:r>
          </w:p>
        </w:tc>
        <w:tc>
          <w:tcPr>
            <w:tcW w:w="2088" w:type="dxa"/>
            <w:noWrap w:val="0"/>
            <w:vAlign w:val="center"/>
          </w:tcPr>
          <w:p w14:paraId="54B19E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1.《宁夏回族自治区行政责任追究办法》第十七条“行政机关及其工作人员在实施行政确认过程中有下列情形之一的，应当追究其行政责任：（一）无正当理由不受理或者拖延受理行政确认申请的；”</w:t>
            </w:r>
          </w:p>
          <w:p w14:paraId="037D63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责任追究办法》第十七条“行政机关及其工作人员在实施行政确认过程中有下列情形之一的，应当追究其行政责任：（二）超越权限实施行政确认，或者将同一确认事项给予两个以上申请人并重复出具确认证书，造成不良后果的；”</w:t>
            </w:r>
          </w:p>
          <w:p w14:paraId="1DA7227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责任追究办法》第十七条“行政机关及其工作人员在实施行政确认过程中有下列情形之一的，应当追究其行政责任：（三）行政确认程序违法，或者根据不确凿、不充分的证据作出行政确认，造成不良后果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555B007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5.《宁夏回族自治区行政程序规定》第二十条“(四)不履行或者拖延履行法定职责的；”</w:t>
            </w:r>
          </w:p>
          <w:p w14:paraId="6292068B">
            <w:pPr>
              <w:widowControl/>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6.《宁夏回族自治区行政程序规定》第二十条“(九)违反本规定的其他情形。”</w:t>
            </w:r>
          </w:p>
        </w:tc>
        <w:tc>
          <w:tcPr>
            <w:tcW w:w="1633" w:type="dxa"/>
            <w:noWrap w:val="0"/>
            <w:vAlign w:val="center"/>
          </w:tcPr>
          <w:p w14:paraId="4ACDC2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2CF62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7622B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519357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0D8D9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0D0604E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2554" w:type="dxa"/>
            <w:noWrap w:val="0"/>
            <w:vAlign w:val="center"/>
          </w:tcPr>
          <w:p w14:paraId="1E01DE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2513B91">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93F3E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29A096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9A27CF0">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4C1F3AB">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F953BF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10A5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72586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vertAlign w:val="baseline"/>
                <w:lang w:val="en-US" w:eastAsia="zh-CN"/>
              </w:rPr>
              <w:t>6</w:t>
            </w:r>
          </w:p>
        </w:tc>
        <w:tc>
          <w:tcPr>
            <w:tcW w:w="614" w:type="dxa"/>
            <w:noWrap w:val="0"/>
            <w:vAlign w:val="center"/>
          </w:tcPr>
          <w:p w14:paraId="23EEAA82">
            <w:pPr>
              <w:keepNext w:val="0"/>
              <w:keepLines w:val="0"/>
              <w:pageBreakBefore w:val="0"/>
              <w:kinsoku/>
              <w:wordWrap/>
              <w:overflowPunct/>
              <w:topLinePunct w:val="0"/>
              <w:autoSpaceDE/>
              <w:bidi w:val="0"/>
              <w:adjustRightInd w:val="0"/>
              <w:snapToGrid w:val="0"/>
              <w:spacing w:line="240" w:lineRule="auto"/>
              <w:jc w:val="left"/>
              <w:textAlignment w:val="auto"/>
              <w:outlineLvl w:val="9"/>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森林生态效益补偿的给付</w:t>
            </w:r>
          </w:p>
        </w:tc>
        <w:tc>
          <w:tcPr>
            <w:tcW w:w="702" w:type="dxa"/>
            <w:noWrap w:val="0"/>
            <w:vAlign w:val="center"/>
          </w:tcPr>
          <w:p w14:paraId="590C3658">
            <w:pPr>
              <w:jc w:val="both"/>
              <w:rPr>
                <w:rFonts w:hint="eastAsia" w:ascii="仿宋_GB2312" w:hAnsi="仿宋_GB2312" w:eastAsia="仿宋_GB2312" w:cs="仿宋_GB2312"/>
                <w:kern w:val="2"/>
                <w:sz w:val="18"/>
                <w:szCs w:val="18"/>
                <w:highlight w:val="none"/>
                <w:vertAlign w:val="baseline"/>
                <w:lang w:val="en-US" w:eastAsia="zh-CN" w:bidi="ar-SA"/>
              </w:rPr>
            </w:pPr>
          </w:p>
        </w:tc>
        <w:tc>
          <w:tcPr>
            <w:tcW w:w="608" w:type="dxa"/>
            <w:noWrap w:val="0"/>
            <w:vAlign w:val="top"/>
          </w:tcPr>
          <w:p w14:paraId="228DBD1D">
            <w:pPr>
              <w:suppressLineNumbers/>
              <w:suppressAutoHyphens/>
              <w:wordWrap w:val="0"/>
              <w:topLinePunct/>
              <w:spacing w:line="220" w:lineRule="exact"/>
              <w:contextualSpacing/>
              <w:jc w:val="left"/>
              <w:rPr>
                <w:rFonts w:hint="eastAsia" w:ascii="仿宋_GB2312" w:hAnsi="仿宋_GB2312" w:eastAsia="仿宋_GB2312" w:cs="仿宋_GB2312"/>
                <w:color w:val="auto"/>
                <w:kern w:val="0"/>
                <w:sz w:val="18"/>
                <w:szCs w:val="18"/>
                <w:highlight w:val="none"/>
                <w:lang w:val="en-US" w:eastAsia="zh-CN"/>
              </w:rPr>
            </w:pPr>
          </w:p>
          <w:p w14:paraId="468CAA2E">
            <w:pPr>
              <w:suppressLineNumbers/>
              <w:suppressAutoHyphens/>
              <w:wordWrap w:val="0"/>
              <w:topLinePunct/>
              <w:spacing w:line="220" w:lineRule="exact"/>
              <w:contextualSpacing/>
              <w:jc w:val="left"/>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lang w:val="en-US" w:eastAsia="zh-CN"/>
              </w:rPr>
              <w:t>0</w:t>
            </w:r>
            <w:r>
              <w:rPr>
                <w:rFonts w:hint="eastAsia" w:ascii="仿宋_GB2312" w:hAnsi="仿宋_GB2312" w:cs="仿宋_GB2312"/>
                <w:color w:val="auto"/>
                <w:kern w:val="0"/>
                <w:sz w:val="18"/>
                <w:szCs w:val="18"/>
                <w:highlight w:val="none"/>
                <w:lang w:val="en-US" w:eastAsia="zh-CN"/>
              </w:rPr>
              <w:t>5</w:t>
            </w:r>
            <w:r>
              <w:rPr>
                <w:rFonts w:hint="eastAsia" w:ascii="仿宋_GB2312" w:hAnsi="仿宋_GB2312" w:eastAsia="仿宋_GB2312" w:cs="仿宋_GB2312"/>
                <w:color w:val="auto"/>
                <w:kern w:val="0"/>
                <w:sz w:val="18"/>
                <w:szCs w:val="18"/>
                <w:highlight w:val="none"/>
                <w:lang w:val="en-US" w:eastAsia="zh-CN"/>
              </w:rPr>
              <w:t>B1</w:t>
            </w:r>
            <w:r>
              <w:rPr>
                <w:rFonts w:hint="eastAsia" w:ascii="仿宋_GB2312" w:hAnsi="仿宋_GB2312" w:cs="仿宋_GB2312"/>
                <w:color w:val="auto"/>
                <w:kern w:val="0"/>
                <w:sz w:val="18"/>
                <w:szCs w:val="18"/>
                <w:highlight w:val="none"/>
                <w:lang w:val="en-US" w:eastAsia="zh-CN"/>
              </w:rPr>
              <w:t>406</w:t>
            </w:r>
            <w:r>
              <w:rPr>
                <w:rFonts w:hint="eastAsia" w:ascii="仿宋_GB2312" w:hAnsi="仿宋_GB2312" w:eastAsia="仿宋_GB2312" w:cs="仿宋_GB2312"/>
                <w:color w:val="auto"/>
                <w:kern w:val="0"/>
                <w:sz w:val="18"/>
                <w:szCs w:val="18"/>
                <w:highlight w:val="none"/>
                <w:lang w:val="en-US" w:eastAsia="zh-CN"/>
              </w:rPr>
              <w:t>000</w:t>
            </w:r>
          </w:p>
        </w:tc>
        <w:tc>
          <w:tcPr>
            <w:tcW w:w="2145" w:type="dxa"/>
            <w:noWrap w:val="0"/>
            <w:vAlign w:val="center"/>
          </w:tcPr>
          <w:p w14:paraId="752EBE1B">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【法律】《中华人民共和国森林法》 （20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22C7E46C">
            <w:pPr>
              <w:keepNext w:val="0"/>
              <w:keepLines w:val="0"/>
              <w:pageBreakBefore w:val="0"/>
              <w:widowControl w:val="0"/>
              <w:kinsoku/>
              <w:wordWrap/>
              <w:overflowPunct/>
              <w:topLinePunct w:val="0"/>
              <w:autoSpaceDE/>
              <w:autoSpaceDN/>
              <w:bidi w:val="0"/>
              <w:adjustRightInd w:val="0"/>
              <w:snapToGrid w:val="0"/>
              <w:spacing w:line="300" w:lineRule="exact"/>
              <w:ind w:firstLine="36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第七条 国家建立森林生态效益补偿制度，加大公益林保护支持力度，完善重点生态功能区转移支付政策，指导受益地区和森林生态保护地区人民政府通过协商等方式进行生态效益补偿。</w:t>
            </w:r>
          </w:p>
          <w:p w14:paraId="7F638449">
            <w:pPr>
              <w:keepNext w:val="0"/>
              <w:keepLines w:val="0"/>
              <w:pageBreakBefore w:val="0"/>
              <w:widowControl w:val="0"/>
              <w:kinsoku/>
              <w:wordWrap/>
              <w:overflowPunct/>
              <w:topLinePunct w:val="0"/>
              <w:autoSpaceDE/>
              <w:autoSpaceDN/>
              <w:bidi w:val="0"/>
              <w:adjustRightInd w:val="0"/>
              <w:snapToGrid w:val="0"/>
              <w:spacing w:line="300" w:lineRule="exact"/>
              <w:ind w:firstLine="36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第二十九条 中央和地方财政分别安排资金，用于公益林的营造、抚育、保护、管理和非国有公益林权利人的经济补偿等，实行专款专用。具体办法由国务院财政部门会同林业主管部门制定</w:t>
            </w:r>
            <w:r>
              <w:rPr>
                <w:rFonts w:hint="eastAsia" w:ascii="仿宋_GB2312" w:hAnsi="仿宋_GB2312" w:eastAsia="仿宋_GB2312" w:cs="仿宋_GB2312"/>
                <w:i w:val="0"/>
                <w:caps w:val="0"/>
                <w:color w:val="666666"/>
                <w:spacing w:val="0"/>
                <w:sz w:val="32"/>
                <w:szCs w:val="32"/>
                <w:highlight w:val="none"/>
                <w:shd w:val="clear" w:color="auto" w:fill="FFFFFF"/>
              </w:rPr>
              <w:t>。</w:t>
            </w:r>
            <w:r>
              <w:rPr>
                <w:rFonts w:hint="eastAsia" w:ascii="仿宋_GB2312" w:hAnsi="仿宋_GB2312" w:eastAsia="仿宋_GB2312" w:cs="仿宋_GB2312"/>
                <w:i w:val="0"/>
                <w:caps w:val="0"/>
                <w:color w:val="666666"/>
                <w:spacing w:val="0"/>
                <w:sz w:val="32"/>
                <w:szCs w:val="32"/>
                <w:highlight w:val="none"/>
                <w:shd w:val="clear" w:color="auto" w:fill="FFFFFF"/>
              </w:rPr>
              <w:br w:type="textWrapping"/>
            </w:r>
            <w:r>
              <w:rPr>
                <w:rFonts w:hint="eastAsia" w:ascii="仿宋_GB2312" w:hAnsi="仿宋_GB2312" w:eastAsia="仿宋_GB2312" w:cs="仿宋_GB2312"/>
                <w:i w:val="0"/>
                <w:caps w:val="0"/>
                <w:color w:val="666666"/>
                <w:spacing w:val="0"/>
                <w:sz w:val="32"/>
                <w:szCs w:val="32"/>
                <w:highlight w:val="none"/>
                <w:shd w:val="clear" w:color="auto" w:fill="FFFFFF"/>
                <w:lang w:val="en-US" w:eastAsia="zh-CN"/>
              </w:rPr>
              <w:t xml:space="preserve">  </w:t>
            </w:r>
            <w:r>
              <w:rPr>
                <w:rFonts w:hint="eastAsia" w:ascii="仿宋_GB2312" w:hAnsi="仿宋_GB2312" w:eastAsia="仿宋_GB2312" w:cs="仿宋_GB2312"/>
                <w:color w:val="auto"/>
                <w:sz w:val="18"/>
                <w:szCs w:val="18"/>
                <w:highlight w:val="none"/>
              </w:rPr>
              <w:t>【行政法规】《中华人民共和国森林法实施条例》（2016年国务院第666号修改）</w:t>
            </w:r>
          </w:p>
          <w:p w14:paraId="2D277C71">
            <w:pPr>
              <w:keepNext w:val="0"/>
              <w:keepLines w:val="0"/>
              <w:pageBreakBefore w:val="0"/>
              <w:widowControl w:val="0"/>
              <w:kinsoku/>
              <w:wordWrap/>
              <w:overflowPunct/>
              <w:topLinePunct w:val="0"/>
              <w:autoSpaceDE/>
              <w:autoSpaceDN/>
              <w:bidi w:val="0"/>
              <w:adjustRightInd w:val="0"/>
              <w:snapToGrid w:val="0"/>
              <w:spacing w:line="300" w:lineRule="exact"/>
              <w:ind w:firstLine="36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国家依法保护森林、林木和林地经营者的合法权益。任何单位和个人不得侵占经营者依法所有的林木和使用的林地。用材林、经济林和薪炭林的经营者，依法享有经营权、收益权和其他合法权益。防护林和特种用途林的经营者，有获得森林生态效益补偿的权利。</w:t>
            </w:r>
          </w:p>
          <w:p w14:paraId="151EEBD1">
            <w:pPr>
              <w:keepNext w:val="0"/>
              <w:keepLines w:val="0"/>
              <w:pageBreakBefore w:val="0"/>
              <w:numPr>
                <w:ilvl w:val="0"/>
                <w:numId w:val="0"/>
              </w:numPr>
              <w:kinsoku/>
              <w:wordWrap/>
              <w:overflowPunct/>
              <w:topLinePunct w:val="0"/>
              <w:autoSpaceDE/>
              <w:bidi w:val="0"/>
              <w:adjustRightInd w:val="0"/>
              <w:snapToGrid w:val="0"/>
              <w:spacing w:line="240" w:lineRule="auto"/>
              <w:ind w:left="0" w:leftChars="0" w:firstLine="0" w:firstLineChars="0"/>
              <w:jc w:val="left"/>
              <w:textAlignment w:val="auto"/>
              <w:outlineLvl w:val="9"/>
              <w:rPr>
                <w:rFonts w:hint="eastAsia" w:ascii="仿宋_GB2312" w:hAnsi="仿宋_GB2312" w:eastAsia="仿宋_GB2312" w:cs="仿宋_GB2312"/>
                <w:kern w:val="2"/>
                <w:sz w:val="18"/>
                <w:szCs w:val="18"/>
                <w:highlight w:val="none"/>
                <w:vertAlign w:val="baseline"/>
                <w:lang w:val="en-US" w:eastAsia="zh-CN" w:bidi="ar-SA"/>
              </w:rPr>
            </w:pPr>
          </w:p>
        </w:tc>
        <w:tc>
          <w:tcPr>
            <w:tcW w:w="608" w:type="dxa"/>
            <w:noWrap w:val="0"/>
            <w:vAlign w:val="center"/>
          </w:tcPr>
          <w:p w14:paraId="7BC5198A">
            <w:pPr>
              <w:keepNext w:val="0"/>
              <w:keepLines w:val="0"/>
              <w:pageBreakBefore w:val="0"/>
              <w:kinsoku/>
              <w:wordWrap/>
              <w:overflowPunct/>
              <w:topLinePunct w:val="0"/>
              <w:autoSpaceDE/>
              <w:bidi w:val="0"/>
              <w:adjustRightInd w:val="0"/>
              <w:snapToGrid w:val="0"/>
              <w:spacing w:line="240" w:lineRule="auto"/>
              <w:jc w:val="left"/>
              <w:textAlignment w:val="auto"/>
              <w:outlineLvl w:val="9"/>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森林生态效益补偿的给付</w:t>
            </w:r>
          </w:p>
        </w:tc>
        <w:tc>
          <w:tcPr>
            <w:tcW w:w="1291" w:type="dxa"/>
            <w:noWrap w:val="0"/>
            <w:vAlign w:val="center"/>
          </w:tcPr>
          <w:p w14:paraId="3C12A35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1.受理责任：公示依法应当公示的材料，一次性告知需要补正的材料，依法受理或不予受理（不予受理应当告知理由）。</w:t>
            </w:r>
          </w:p>
          <w:p w14:paraId="55E59E5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2.审查责任：按照法定程序和条件，对提交材料进行审查，提出审核意见。</w:t>
            </w:r>
          </w:p>
          <w:p w14:paraId="252CC2A0">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3.决定责任：对符合条件的，予以给付。对不符合条件的不予给付，说明理由。</w:t>
            </w:r>
          </w:p>
          <w:p w14:paraId="264EA1CA">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4.事后监管责任：建立实施监督检查的管理制度和机制，开展定期和不定期检查，依法采取相关处置措施。</w:t>
            </w:r>
          </w:p>
          <w:p w14:paraId="5B03A05E">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5.其他法律法规规章文件规定应履行的责任。</w:t>
            </w:r>
          </w:p>
        </w:tc>
        <w:tc>
          <w:tcPr>
            <w:tcW w:w="2165" w:type="dxa"/>
            <w:noWrap w:val="0"/>
            <w:vAlign w:val="center"/>
          </w:tcPr>
          <w:p w14:paraId="08BB7E43">
            <w:pPr>
              <w:adjustRightInd w:val="0"/>
              <w:snapToGrid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1</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第三十条</w:t>
            </w:r>
            <w:r>
              <w:rPr>
                <w:rFonts w:hint="eastAsia" w:ascii="仿宋_GB2312" w:hAnsi="仿宋_GB2312" w:eastAsia="仿宋_GB2312" w:cs="仿宋_GB2312"/>
                <w:sz w:val="18"/>
                <w:szCs w:val="18"/>
                <w:highlight w:val="none"/>
              </w:rPr>
              <w:t>“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A0FD302">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CC"/>
                <w:sz w:val="18"/>
                <w:szCs w:val="18"/>
                <w:highlight w:val="none"/>
              </w:rPr>
              <w:t>2</w:t>
            </w:r>
            <w:r>
              <w:rPr>
                <w:rFonts w:hint="eastAsia" w:ascii="仿宋_GB2312" w:hAnsi="仿宋_GB2312" w:eastAsia="仿宋_GB2312" w:cs="仿宋_GB2312"/>
                <w:color w:val="0000CC"/>
                <w:sz w:val="18"/>
                <w:szCs w:val="18"/>
                <w:highlight w:val="none"/>
                <w:lang w:val="en-US" w:eastAsia="zh-CN"/>
              </w:rPr>
              <w:t>.</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第三十四条</w:t>
            </w:r>
            <w:r>
              <w:rPr>
                <w:rFonts w:hint="eastAsia" w:ascii="仿宋_GB2312" w:hAnsi="仿宋_GB2312" w:eastAsia="仿宋_GB2312" w:cs="仿宋_GB2312"/>
                <w:sz w:val="18"/>
                <w:szCs w:val="18"/>
                <w:highlight w:val="none"/>
              </w:rPr>
              <w:t>“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4E1CF82">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FF"/>
                <w:sz w:val="18"/>
                <w:szCs w:val="18"/>
                <w:highlight w:val="none"/>
                <w:lang w:val="en-US" w:eastAsia="zh-CN"/>
              </w:rPr>
              <w:t>3</w:t>
            </w:r>
            <w:r>
              <w:rPr>
                <w:rFonts w:hint="eastAsia" w:ascii="仿宋_GB2312" w:hAnsi="仿宋_GB2312" w:eastAsia="仿宋_GB2312" w:cs="仿宋_GB2312"/>
                <w:color w:val="0000FF"/>
                <w:sz w:val="18"/>
                <w:szCs w:val="18"/>
                <w:highlight w:val="none"/>
              </w:rPr>
              <w:t>.</w:t>
            </w:r>
            <w:r>
              <w:rPr>
                <w:rFonts w:hint="eastAsia" w:ascii="仿宋_GB2312" w:hAnsi="仿宋_GB2312" w:eastAsia="仿宋_GB2312" w:cs="仿宋_GB2312"/>
                <w:color w:val="0000FF"/>
                <w:sz w:val="18"/>
                <w:szCs w:val="18"/>
                <w:highlight w:val="none"/>
                <w:lang w:eastAsia="zh-CN"/>
              </w:rPr>
              <w:t>《中华人民共和国行政许可法》</w:t>
            </w:r>
            <w:r>
              <w:rPr>
                <w:rFonts w:hint="eastAsia" w:ascii="仿宋_GB2312" w:hAnsi="仿宋_GB2312" w:eastAsia="仿宋_GB2312" w:cs="仿宋_GB2312"/>
                <w:color w:val="0000FF"/>
                <w:sz w:val="18"/>
                <w:szCs w:val="18"/>
                <w:highlight w:val="none"/>
              </w:rPr>
              <w:t>第三十七条</w:t>
            </w:r>
            <w:r>
              <w:rPr>
                <w:rFonts w:hint="eastAsia" w:ascii="仿宋_GB2312" w:hAnsi="仿宋_GB2312" w:eastAsia="仿宋_GB2312" w:cs="仿宋_GB2312"/>
                <w:sz w:val="18"/>
                <w:szCs w:val="18"/>
                <w:highlight w:val="none"/>
              </w:rPr>
              <w:t>“行政机关对行政许可申请进行审查后，除当场作出行政许可决定的外，应当在法定期限内按照规定程序作出行政许可决定。”</w:t>
            </w:r>
          </w:p>
          <w:p w14:paraId="2D84CCD9">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color w:val="0000CC"/>
                <w:sz w:val="18"/>
                <w:szCs w:val="18"/>
                <w:highlight w:val="none"/>
              </w:rPr>
              <w:t>4.</w:t>
            </w:r>
            <w:r>
              <w:rPr>
                <w:rFonts w:hint="eastAsia" w:ascii="仿宋_GB2312" w:hAnsi="仿宋_GB2312" w:eastAsia="仿宋_GB2312" w:cs="仿宋_GB2312"/>
                <w:color w:val="0000CC"/>
                <w:sz w:val="18"/>
                <w:szCs w:val="18"/>
                <w:highlight w:val="none"/>
                <w:lang w:eastAsia="zh-CN"/>
              </w:rPr>
              <w:t>《中华人民共和国行政许可法》</w:t>
            </w:r>
            <w:r>
              <w:rPr>
                <w:rFonts w:hint="eastAsia" w:ascii="仿宋_GB2312" w:hAnsi="仿宋_GB2312" w:eastAsia="仿宋_GB2312" w:cs="仿宋_GB2312"/>
                <w:color w:val="0000CC"/>
                <w:sz w:val="18"/>
                <w:szCs w:val="18"/>
                <w:highlight w:val="none"/>
              </w:rPr>
              <w:t>第六十一条。</w:t>
            </w:r>
            <w:r>
              <w:rPr>
                <w:rFonts w:hint="eastAsia" w:ascii="仿宋_GB2312" w:hAnsi="仿宋_GB2312" w:eastAsia="仿宋_GB2312" w:cs="仿宋_GB2312"/>
                <w:sz w:val="18"/>
                <w:szCs w:val="18"/>
                <w:highlight w:val="none"/>
              </w:rPr>
              <w:t>“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1101" w:type="dxa"/>
            <w:noWrap w:val="0"/>
            <w:vAlign w:val="center"/>
          </w:tcPr>
          <w:p w14:paraId="2BBD34E1">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因不履行或不正确履行行政职责，有下列情形的，行政机关及相关工作人员应承担相应责任：</w:t>
            </w:r>
          </w:p>
          <w:p w14:paraId="6A6EDA9F">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1.对符合受理条件的申请不予受理的；</w:t>
            </w:r>
          </w:p>
          <w:p w14:paraId="758A8B3E">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2.未严格履行审查责任的；</w:t>
            </w:r>
          </w:p>
          <w:p w14:paraId="0968A5CA">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3.不依法履行监督职责或者监督不力的；</w:t>
            </w:r>
          </w:p>
          <w:p w14:paraId="1B1AD9F2">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4.滥用职权、徇私舞弊、玩忽职守的；</w:t>
            </w:r>
          </w:p>
          <w:p w14:paraId="0E5D7262">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5.索贿、受贿，谋取不正当利益的；</w:t>
            </w:r>
          </w:p>
          <w:p w14:paraId="11E0B63B">
            <w:pPr>
              <w:widowControl/>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6.未按裁量权规定，滥用裁量权的；</w:t>
            </w:r>
          </w:p>
          <w:p w14:paraId="7C9F3C5A">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7.其他违反法律法规规章文件规定的行为。</w:t>
            </w:r>
          </w:p>
        </w:tc>
        <w:tc>
          <w:tcPr>
            <w:tcW w:w="2088" w:type="dxa"/>
            <w:noWrap w:val="0"/>
            <w:vAlign w:val="center"/>
          </w:tcPr>
          <w:p w14:paraId="4A363AD8">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1.《宁夏回族自治区行政责任追究办法》第十七条“行政机关及其工作人员在实施行政确认过程中有下列情形之一的，应当追究其行政责任：（一）无正当理由不受理或者拖延受理行政确认申请的；”</w:t>
            </w:r>
          </w:p>
          <w:p w14:paraId="56E66988">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宁夏回族自治区行政责任追究办法》第十七条“行政机关及其工作人员在实施行政确认过程中有下列情形之一的，应当追究其行政责任：（二）超越权限实施行政确认，或者将同一确认事项给予两个以上申请人并重复出具确认证书，造成不良后果的；”</w:t>
            </w:r>
          </w:p>
          <w:p w14:paraId="44A87280">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宁夏回族自治区行政责任追究办法》第十七条“行政机关及其工作人员在实施行政确认过程中有下列情形之一的，应当追究其行政责任：（三）行政确认程序违法，或者根据不确凿、不充分的证据作出行政确认，造成不良后果的；”</w:t>
            </w:r>
            <w:r>
              <w:rPr>
                <w:rFonts w:hint="eastAsia" w:ascii="仿宋_GB2312" w:hAnsi="仿宋_GB2312" w:eastAsia="仿宋_GB2312" w:cs="仿宋_GB2312"/>
                <w:sz w:val="18"/>
                <w:szCs w:val="18"/>
                <w:highlight w:val="none"/>
              </w:rPr>
              <w:br w:type="textWrapping"/>
            </w:r>
            <w:r>
              <w:rPr>
                <w:rFonts w:hint="eastAsia" w:ascii="仿宋_GB2312" w:hAnsi="仿宋_GB2312" w:eastAsia="仿宋_GB2312" w:cs="仿宋_GB2312"/>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5FB1C44C">
            <w:pPr>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5.《宁夏回族自治区行政程序规定》第二十条“(四)不履行或者拖延履行法定职责的；”</w:t>
            </w:r>
          </w:p>
          <w:p w14:paraId="08623EBB">
            <w:pPr>
              <w:widowControl/>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6.《宁夏回族自治区行政程序规定》第二十条“(九)违反本规定的其他情形。”</w:t>
            </w:r>
          </w:p>
        </w:tc>
        <w:tc>
          <w:tcPr>
            <w:tcW w:w="1633" w:type="dxa"/>
            <w:noWrap w:val="0"/>
            <w:vAlign w:val="center"/>
          </w:tcPr>
          <w:p w14:paraId="262DAD79">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3D3E80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1.给予具体承办人责令作出书面检查、批评教育、取消年度评比先进资格、暂扣行政执法证件、离岗培训、调离工作岗位、取消行政执法资格以及处分等责任追究；</w:t>
            </w:r>
          </w:p>
          <w:p w14:paraId="013302E3">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2D43F7ED">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3.给予行政机关责令限期整改、通报批评、取消评比先进资格等责任追究；</w:t>
            </w:r>
          </w:p>
          <w:p w14:paraId="4B9E0257">
            <w:pPr>
              <w:shd w:val="clear" w:color="auto" w:fill="FFFFFF"/>
              <w:adjustRightInd w:val="0"/>
              <w:snapToGrid w:val="0"/>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4.对违反党纪的工作人员（中共党员）给予党纪处分，对构成犯罪的工作人员，移交司法机关，依法追究刑事责任；</w:t>
            </w:r>
          </w:p>
          <w:p w14:paraId="3C2006A6">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r>
              <w:rPr>
                <w:rFonts w:hint="eastAsia" w:ascii="仿宋_GB2312" w:hAnsi="仿宋_GB2312" w:eastAsia="仿宋_GB2312" w:cs="仿宋_GB2312"/>
                <w:sz w:val="18"/>
                <w:szCs w:val="18"/>
                <w:highlight w:val="none"/>
              </w:rPr>
              <w:t>5.其他法律法规规章文件规定的责任承担方式。</w:t>
            </w:r>
          </w:p>
        </w:tc>
        <w:tc>
          <w:tcPr>
            <w:tcW w:w="2554" w:type="dxa"/>
            <w:noWrap w:val="0"/>
            <w:vAlign w:val="center"/>
          </w:tcPr>
          <w:p w14:paraId="74197942">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3921781">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rPr>
              <w:t>1-2《宁夏回族自治区行政执法监督条例》第二十六条</w:t>
            </w:r>
            <w:r>
              <w:rPr>
                <w:rFonts w:hint="eastAsia" w:ascii="仿宋_GB2312" w:hAnsi="仿宋_GB2312" w:eastAsia="仿宋_GB2312" w:cs="仿宋_GB2312"/>
                <w:i w:val="0"/>
                <w:caps w:val="0"/>
                <w:color w:val="333333"/>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333333"/>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333333"/>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333333"/>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333333"/>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7E06D46">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rPr>
              <w:t>2.《宁夏回族自治区行政程序规定》第一百一十五条“（一）对行政机关的责任追究方式为：责令限期整改、通报批评、取消评比先进的资格等；</w:t>
            </w:r>
          </w:p>
          <w:p w14:paraId="13786BF6">
            <w:pPr>
              <w:shd w:val="clear" w:color="auto" w:fill="FFFFFF"/>
              <w:adjustRightInd w:val="0"/>
              <w:snapToGrid w:val="0"/>
              <w:rPr>
                <w:rFonts w:hint="eastAsia" w:ascii="仿宋_GB2312" w:hAnsi="仿宋_GB2312" w:eastAsia="仿宋_GB2312" w:cs="仿宋_GB2312"/>
                <w:color w:val="0000CC"/>
                <w:sz w:val="18"/>
                <w:szCs w:val="18"/>
                <w:highlight w:val="none"/>
              </w:rPr>
            </w:pPr>
            <w:r>
              <w:rPr>
                <w:rFonts w:hint="eastAsia" w:ascii="仿宋_GB2312" w:hAnsi="仿宋_GB2312" w:eastAsia="仿宋_GB2312" w:cs="仿宋_GB2312"/>
                <w:color w:val="0000CC"/>
                <w:sz w:val="18"/>
                <w:szCs w:val="18"/>
                <w:highlight w:val="none"/>
                <w:lang w:val="en-US" w:eastAsia="zh-CN"/>
              </w:rPr>
              <w:t>3</w:t>
            </w:r>
            <w:r>
              <w:rPr>
                <w:rFonts w:hint="eastAsia" w:ascii="仿宋_GB2312" w:hAnsi="仿宋_GB2312" w:eastAsia="仿宋_GB2312" w:cs="仿宋_GB2312"/>
                <w:color w:val="0000CC"/>
                <w:sz w:val="18"/>
                <w:szCs w:val="18"/>
                <w:highlight w:val="none"/>
              </w:rPr>
              <w:t>.《中国共产党纪律处分条例》第</w:t>
            </w:r>
            <w:r>
              <w:rPr>
                <w:rFonts w:hint="eastAsia" w:ascii="仿宋_GB2312" w:hAnsi="仿宋_GB2312" w:eastAsia="仿宋_GB2312" w:cs="仿宋_GB2312"/>
                <w:color w:val="0000CC"/>
                <w:sz w:val="18"/>
                <w:szCs w:val="18"/>
                <w:highlight w:val="none"/>
                <w:lang w:eastAsia="zh-CN"/>
              </w:rPr>
              <w:t>八</w:t>
            </w:r>
            <w:r>
              <w:rPr>
                <w:rFonts w:hint="eastAsia" w:ascii="仿宋_GB2312" w:hAnsi="仿宋_GB2312" w:eastAsia="仿宋_GB2312" w:cs="仿宋_GB2312"/>
                <w:color w:val="0000CC"/>
                <w:sz w:val="18"/>
                <w:szCs w:val="18"/>
                <w:highlight w:val="none"/>
              </w:rPr>
              <w:t>条“对党员的纪律处分种类：（一）警告；（二）严重警告；（三）撤销党内职务；（四）留党察看；（五）开除党籍。”</w:t>
            </w:r>
          </w:p>
          <w:p w14:paraId="2B3779EA">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rPr>
            </w:pPr>
            <w:r>
              <w:rPr>
                <w:rFonts w:hint="eastAsia" w:ascii="仿宋_GB2312" w:hAnsi="仿宋_GB2312" w:eastAsia="仿宋_GB2312" w:cs="仿宋_GB2312"/>
                <w:color w:val="0000CC"/>
                <w:sz w:val="18"/>
                <w:szCs w:val="18"/>
                <w:highlight w:val="none"/>
                <w:lang w:val="en-US" w:eastAsia="zh-CN"/>
              </w:rPr>
              <w:t>4</w:t>
            </w:r>
            <w:r>
              <w:rPr>
                <w:rFonts w:hint="eastAsia" w:ascii="仿宋_GB2312" w:hAnsi="仿宋_GB2312" w:eastAsia="仿宋_GB2312" w:cs="仿宋_GB2312"/>
                <w:color w:val="0000CC"/>
                <w:sz w:val="18"/>
                <w:szCs w:val="18"/>
                <w:highlight w:val="none"/>
              </w:rPr>
              <w:t>.《行政机关公务员处分条例》第六条</w:t>
            </w:r>
            <w:r>
              <w:rPr>
                <w:rFonts w:hint="eastAsia" w:ascii="仿宋_GB2312" w:hAnsi="仿宋_GB2312" w:eastAsia="仿宋_GB2312" w:cs="仿宋_GB2312"/>
                <w:color w:val="0000CC"/>
                <w:sz w:val="18"/>
                <w:szCs w:val="18"/>
                <w:highlight w:val="none"/>
                <w:lang w:val="en-US" w:eastAsia="zh-CN"/>
              </w:rPr>
              <w:t xml:space="preserve"> </w:t>
            </w:r>
            <w:r>
              <w:rPr>
                <w:rFonts w:hint="eastAsia" w:ascii="仿宋_GB2312" w:hAnsi="仿宋_GB2312" w:eastAsia="仿宋_GB2312" w:cs="仿宋_GB2312"/>
                <w:i w:val="0"/>
                <w:caps w:val="0"/>
                <w:color w:val="333333"/>
                <w:spacing w:val="0"/>
                <w:sz w:val="18"/>
                <w:szCs w:val="18"/>
                <w:highlight w:val="none"/>
                <w:shd w:val="clear" w:color="auto" w:fill="FFFFFF"/>
              </w:rPr>
              <w:t>行政机关公务员处分的种类为：(一)警告;(二)记过;(三)记大过;(四)降级;(五)撤职;(六)开除。</w:t>
            </w:r>
          </w:p>
          <w:p w14:paraId="0397B5D5">
            <w:pPr>
              <w:shd w:val="clear" w:color="auto" w:fill="FFFFFF"/>
              <w:adjustRightInd w:val="0"/>
              <w:snapToGrid w:val="0"/>
              <w:rPr>
                <w:rFonts w:hint="eastAsia" w:ascii="仿宋_GB2312" w:hAnsi="仿宋_GB2312" w:eastAsia="仿宋_GB2312" w:cs="仿宋_GB2312"/>
                <w:i w:val="0"/>
                <w:caps w:val="0"/>
                <w:color w:val="333333"/>
                <w:spacing w:val="0"/>
                <w:sz w:val="18"/>
                <w:szCs w:val="18"/>
                <w:highlight w:val="none"/>
                <w:shd w:val="clear" w:color="auto" w:fill="FFFFFF"/>
                <w:lang w:val="en-US" w:eastAsia="zh-CN"/>
              </w:rPr>
            </w:pPr>
            <w:r>
              <w:rPr>
                <w:rFonts w:hint="eastAsia" w:ascii="仿宋_GB2312" w:hAnsi="仿宋_GB2312" w:eastAsia="仿宋_GB2312" w:cs="仿宋_GB2312"/>
                <w:i w:val="0"/>
                <w:caps w:val="0"/>
                <w:color w:val="333333"/>
                <w:spacing w:val="0"/>
                <w:sz w:val="18"/>
                <w:szCs w:val="18"/>
                <w:highlight w:val="none"/>
                <w:shd w:val="clear" w:color="auto" w:fill="FFFFFF"/>
                <w:lang w:val="en-US" w:eastAsia="zh-CN"/>
              </w:rPr>
              <w:t>5.</w:t>
            </w:r>
            <w:r>
              <w:rPr>
                <w:rFonts w:hint="eastAsia" w:ascii="仿宋_GB2312" w:hAnsi="仿宋_GB2312" w:eastAsia="仿宋_GB2312" w:cs="仿宋_GB2312"/>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2003793">
            <w:pPr>
              <w:shd w:val="clear" w:color="auto" w:fill="FFFFFF"/>
              <w:adjustRightInd w:val="0"/>
              <w:snapToGrid w:val="0"/>
              <w:rPr>
                <w:rFonts w:hint="eastAsia" w:ascii="仿宋_GB2312" w:hAnsi="仿宋_GB2312" w:eastAsia="仿宋_GB2312" w:cs="仿宋_GB2312"/>
                <w:kern w:val="2"/>
                <w:sz w:val="18"/>
                <w:szCs w:val="18"/>
                <w:highlight w:val="none"/>
                <w:vertAlign w:val="baseline"/>
                <w:lang w:val="en-US" w:eastAsia="zh-CN" w:bidi="ar-SA"/>
              </w:rPr>
            </w:pPr>
          </w:p>
        </w:tc>
      </w:tr>
    </w:tbl>
    <w:p w14:paraId="0CB08B37">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六、行政检查（12项）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12"/>
        <w:gridCol w:w="615"/>
        <w:gridCol w:w="600"/>
        <w:gridCol w:w="1650"/>
        <w:gridCol w:w="615"/>
        <w:gridCol w:w="1410"/>
        <w:gridCol w:w="1440"/>
        <w:gridCol w:w="1215"/>
        <w:gridCol w:w="2340"/>
        <w:gridCol w:w="1770"/>
        <w:gridCol w:w="3242"/>
      </w:tblGrid>
      <w:tr w14:paraId="4509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7E70D1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序号</w:t>
            </w:r>
          </w:p>
        </w:tc>
        <w:tc>
          <w:tcPr>
            <w:tcW w:w="612" w:type="dxa"/>
            <w:noWrap w:val="0"/>
            <w:vAlign w:val="center"/>
          </w:tcPr>
          <w:p w14:paraId="39E62B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w:t>
            </w:r>
          </w:p>
          <w:p w14:paraId="62C8C7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auto"/>
                <w:highlight w:val="none"/>
              </w:rPr>
            </w:pPr>
            <w:r>
              <w:rPr>
                <w:rFonts w:hint="eastAsia" w:ascii="仿宋_GB2312" w:hAnsi="仿宋_GB2312" w:eastAsia="仿宋_GB2312" w:cs="仿宋_GB2312"/>
                <w:color w:val="auto"/>
                <w:sz w:val="18"/>
                <w:szCs w:val="18"/>
                <w:highlight w:val="none"/>
                <w:vertAlign w:val="baseline"/>
                <w:lang w:val="en-US" w:eastAsia="zh-CN"/>
              </w:rPr>
              <w:t>名称</w:t>
            </w:r>
          </w:p>
        </w:tc>
        <w:tc>
          <w:tcPr>
            <w:tcW w:w="615" w:type="dxa"/>
            <w:noWrap w:val="0"/>
            <w:vAlign w:val="center"/>
          </w:tcPr>
          <w:p w14:paraId="668F22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子项</w:t>
            </w:r>
          </w:p>
          <w:p w14:paraId="737E67C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名称</w:t>
            </w:r>
          </w:p>
        </w:tc>
        <w:tc>
          <w:tcPr>
            <w:tcW w:w="600" w:type="dxa"/>
            <w:noWrap w:val="0"/>
            <w:vAlign w:val="center"/>
          </w:tcPr>
          <w:p w14:paraId="6C0F26C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基本编码</w:t>
            </w:r>
          </w:p>
        </w:tc>
        <w:tc>
          <w:tcPr>
            <w:tcW w:w="1650" w:type="dxa"/>
            <w:noWrap w:val="0"/>
            <w:vAlign w:val="center"/>
          </w:tcPr>
          <w:p w14:paraId="5000B38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职权依据</w:t>
            </w:r>
          </w:p>
        </w:tc>
        <w:tc>
          <w:tcPr>
            <w:tcW w:w="615" w:type="dxa"/>
            <w:noWrap w:val="0"/>
            <w:vAlign w:val="center"/>
          </w:tcPr>
          <w:p w14:paraId="0077F8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行使内容</w:t>
            </w:r>
          </w:p>
        </w:tc>
        <w:tc>
          <w:tcPr>
            <w:tcW w:w="1410" w:type="dxa"/>
            <w:noWrap w:val="0"/>
            <w:vAlign w:val="center"/>
          </w:tcPr>
          <w:p w14:paraId="5CA7B4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阶段事项</w:t>
            </w:r>
          </w:p>
        </w:tc>
        <w:tc>
          <w:tcPr>
            <w:tcW w:w="1440" w:type="dxa"/>
            <w:noWrap w:val="0"/>
            <w:vAlign w:val="center"/>
          </w:tcPr>
          <w:p w14:paraId="63B355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责任事项依据</w:t>
            </w:r>
          </w:p>
        </w:tc>
        <w:tc>
          <w:tcPr>
            <w:tcW w:w="1215" w:type="dxa"/>
            <w:noWrap w:val="0"/>
            <w:vAlign w:val="center"/>
          </w:tcPr>
          <w:p w14:paraId="229E04A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w:t>
            </w:r>
          </w:p>
        </w:tc>
        <w:tc>
          <w:tcPr>
            <w:tcW w:w="2340" w:type="dxa"/>
            <w:noWrap w:val="0"/>
            <w:vAlign w:val="center"/>
          </w:tcPr>
          <w:p w14:paraId="061217C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追责情形依据</w:t>
            </w:r>
          </w:p>
        </w:tc>
        <w:tc>
          <w:tcPr>
            <w:tcW w:w="1770" w:type="dxa"/>
            <w:noWrap w:val="0"/>
            <w:vAlign w:val="center"/>
          </w:tcPr>
          <w:p w14:paraId="1ADD17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w:t>
            </w:r>
          </w:p>
        </w:tc>
        <w:tc>
          <w:tcPr>
            <w:tcW w:w="3242" w:type="dxa"/>
            <w:noWrap w:val="0"/>
            <w:vAlign w:val="center"/>
          </w:tcPr>
          <w:p w14:paraId="3359B75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担责方式依据</w:t>
            </w:r>
          </w:p>
        </w:tc>
      </w:tr>
      <w:tr w14:paraId="42DA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37A39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w:t>
            </w:r>
          </w:p>
        </w:tc>
        <w:tc>
          <w:tcPr>
            <w:tcW w:w="612" w:type="dxa"/>
            <w:noWrap w:val="0"/>
            <w:vAlign w:val="center"/>
          </w:tcPr>
          <w:p w14:paraId="37D79985">
            <w:pPr>
              <w:textAlignment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1"/>
                <w:sz w:val="18"/>
                <w:szCs w:val="18"/>
                <w:highlight w:val="none"/>
                <w:lang w:bidi="ar"/>
              </w:rPr>
              <w:t>对建制镇规划、市政公用设施、园林绿化和环境卫生、风景名胜的实施情况的执法检查</w:t>
            </w:r>
          </w:p>
        </w:tc>
        <w:tc>
          <w:tcPr>
            <w:tcW w:w="615" w:type="dxa"/>
            <w:noWrap w:val="0"/>
            <w:vAlign w:val="center"/>
          </w:tcPr>
          <w:p w14:paraId="204FD3FF">
            <w:pPr>
              <w:jc w:val="both"/>
              <w:rPr>
                <w:rFonts w:hint="default"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53974FA5">
            <w:pPr>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1"/>
                <w:sz w:val="18"/>
                <w:szCs w:val="18"/>
                <w:highlight w:val="none"/>
              </w:rPr>
              <w:t>0614011000</w:t>
            </w:r>
          </w:p>
        </w:tc>
        <w:tc>
          <w:tcPr>
            <w:tcW w:w="1650" w:type="dxa"/>
            <w:noWrap w:val="0"/>
            <w:vAlign w:val="center"/>
          </w:tcPr>
          <w:p w14:paraId="3FDF7B53">
            <w:pPr>
              <w:ind w:firstLine="360" w:firstLineChars="200"/>
              <w:textAlignment w:val="center"/>
              <w:rPr>
                <w:rFonts w:hint="eastAsia" w:ascii="仿宋_GB2312" w:hAnsi="仿宋_GB2312" w:eastAsia="仿宋_GB2312" w:cs="仿宋_GB2312"/>
                <w:color w:val="auto"/>
                <w:kern w:val="21"/>
                <w:sz w:val="18"/>
                <w:szCs w:val="18"/>
                <w:highlight w:val="none"/>
                <w:lang w:bidi="ar"/>
              </w:rPr>
            </w:pPr>
            <w:r>
              <w:rPr>
                <w:rFonts w:hint="eastAsia" w:ascii="仿宋_GB2312" w:hAnsi="仿宋_GB2312" w:eastAsia="仿宋_GB2312" w:cs="仿宋_GB2312"/>
                <w:color w:val="auto"/>
                <w:kern w:val="21"/>
                <w:sz w:val="18"/>
                <w:szCs w:val="18"/>
                <w:highlight w:val="none"/>
                <w:lang w:bidi="ar"/>
              </w:rPr>
              <w:t>【部门规章】《建制镇规划建设管理办法》（2011年住房建部令第9号公布）</w:t>
            </w:r>
          </w:p>
          <w:p w14:paraId="20DEB6BD">
            <w:p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1"/>
                <w:sz w:val="18"/>
                <w:szCs w:val="18"/>
                <w:highlight w:val="none"/>
                <w:lang w:bidi="ar"/>
              </w:rPr>
              <w:t>第四十八条　建制镇建设行政主管部门应当执行有关城建监察的规定，确定执法人员，对建制镇规划、市政公用设施、园林绿化和环境卫生、风景名胜的实施情况进行执法检查。</w:t>
            </w:r>
          </w:p>
        </w:tc>
        <w:tc>
          <w:tcPr>
            <w:tcW w:w="615" w:type="dxa"/>
            <w:noWrap w:val="0"/>
            <w:vAlign w:val="center"/>
          </w:tcPr>
          <w:p w14:paraId="46985967">
            <w:pPr>
              <w:snapToGrid w:val="0"/>
              <w:rPr>
                <w:rFonts w:hint="eastAsia" w:ascii="仿宋_GB2312" w:hAnsi="仿宋_GB2312" w:eastAsia="仿宋_GB2312" w:cs="仿宋_GB2312"/>
                <w:color w:val="auto"/>
                <w:kern w:val="21"/>
                <w:sz w:val="18"/>
                <w:szCs w:val="18"/>
                <w:highlight w:val="none"/>
                <w:lang w:eastAsia="zh-CN"/>
              </w:rPr>
            </w:pPr>
            <w:r>
              <w:rPr>
                <w:rFonts w:hint="eastAsia" w:ascii="仿宋_GB2312" w:hAnsi="仿宋_GB2312" w:eastAsia="仿宋_GB2312" w:cs="仿宋_GB2312"/>
                <w:color w:val="auto"/>
                <w:kern w:val="21"/>
                <w:sz w:val="18"/>
                <w:szCs w:val="18"/>
                <w:highlight w:val="none"/>
                <w:lang w:bidi="ar"/>
              </w:rPr>
              <w:t>对建制镇规划、市政公用设施、园林绿化和环境卫生、风景名胜的实施情况</w:t>
            </w:r>
            <w:r>
              <w:rPr>
                <w:rFonts w:hint="eastAsia" w:ascii="仿宋_GB2312" w:hAnsi="仿宋_GB2312" w:eastAsia="仿宋_GB2312" w:cs="仿宋_GB2312"/>
                <w:color w:val="auto"/>
                <w:kern w:val="21"/>
                <w:sz w:val="18"/>
                <w:szCs w:val="18"/>
                <w:highlight w:val="none"/>
                <w:lang w:eastAsia="zh-CN" w:bidi="ar"/>
              </w:rPr>
              <w:t>进行执法检查</w:t>
            </w:r>
          </w:p>
        </w:tc>
        <w:tc>
          <w:tcPr>
            <w:tcW w:w="1410" w:type="dxa"/>
            <w:noWrap w:val="0"/>
            <w:vAlign w:val="center"/>
          </w:tcPr>
          <w:p w14:paraId="0C63045E">
            <w:pPr>
              <w:adjustRightInd w:val="0"/>
              <w:snapToGrid w:val="0"/>
              <w:spacing w:line="240" w:lineRule="exac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1.检查责任：对</w:t>
            </w:r>
            <w:r>
              <w:rPr>
                <w:rFonts w:hint="eastAsia" w:ascii="仿宋_GB2312" w:hAnsi="仿宋_GB2312" w:eastAsia="仿宋_GB2312" w:cs="仿宋_GB2312"/>
                <w:color w:val="auto"/>
                <w:kern w:val="21"/>
                <w:sz w:val="18"/>
                <w:szCs w:val="18"/>
                <w:highlight w:val="none"/>
                <w:lang w:bidi="ar"/>
              </w:rPr>
              <w:t>建制镇规划、市政公用设施、园林绿化和环境卫生、风景名胜的实施情况</w:t>
            </w:r>
            <w:r>
              <w:rPr>
                <w:rFonts w:hint="eastAsia" w:ascii="仿宋_GB2312" w:hAnsi="仿宋_GB2312" w:eastAsia="仿宋_GB2312" w:cs="仿宋_GB2312"/>
                <w:color w:val="auto"/>
                <w:sz w:val="18"/>
                <w:szCs w:val="18"/>
                <w:highlight w:val="none"/>
              </w:rPr>
              <w:t>进行监督管理。</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2.处理责任：在监督检查过程中，发现存在违反行为的应当责令采取措施消除隐患或临时查封、责令整改、责令限期整改。</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3.复查责任：依据责令限期改正期限或当事人的复查申请，对违法行为进行复查。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4.归档责任：在监督检查后，对未发现建设工程质量违法行为或已改正违法行为等内容的相关资料进行归档。</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5.其他法律法规规章文件规定应履行的责任。</w:t>
            </w:r>
          </w:p>
          <w:p w14:paraId="5386306D">
            <w:pPr>
              <w:adjustRightInd w:val="0"/>
              <w:snapToGrid w:val="0"/>
              <w:spacing w:line="240" w:lineRule="exact"/>
              <w:rPr>
                <w:rFonts w:hint="eastAsia" w:ascii="仿宋_GB2312" w:hAnsi="仿宋_GB2312" w:eastAsia="仿宋_GB2312" w:cs="仿宋_GB2312"/>
                <w:color w:val="auto"/>
                <w:kern w:val="2"/>
                <w:sz w:val="18"/>
                <w:szCs w:val="18"/>
                <w:highlight w:val="none"/>
                <w:lang w:val="en-US" w:eastAsia="zh-CN" w:bidi="ar-SA"/>
              </w:rPr>
            </w:pPr>
          </w:p>
        </w:tc>
        <w:tc>
          <w:tcPr>
            <w:tcW w:w="1440" w:type="dxa"/>
            <w:noWrap w:val="0"/>
            <w:vAlign w:val="center"/>
          </w:tcPr>
          <w:p w14:paraId="1FF0BC13">
            <w:pPr>
              <w:textAlignment w:val="center"/>
              <w:rPr>
                <w:rFonts w:hint="eastAsia" w:ascii="仿宋_GB2312" w:hAnsi="仿宋_GB2312" w:eastAsia="仿宋_GB2312" w:cs="仿宋_GB2312"/>
                <w:color w:val="auto"/>
                <w:kern w:val="21"/>
                <w:sz w:val="18"/>
                <w:szCs w:val="18"/>
                <w:highlight w:val="none"/>
                <w:lang w:bidi="ar"/>
              </w:rPr>
            </w:pPr>
            <w:r>
              <w:rPr>
                <w:rFonts w:hint="eastAsia" w:ascii="仿宋_GB2312" w:hAnsi="仿宋_GB2312" w:eastAsia="仿宋_GB2312" w:cs="仿宋_GB2312"/>
                <w:color w:val="auto"/>
                <w:kern w:val="21"/>
                <w:sz w:val="18"/>
                <w:szCs w:val="18"/>
                <w:highlight w:val="none"/>
                <w:lang w:bidi="ar"/>
              </w:rPr>
              <w:t>【部门规章】《建制镇规划建设管理办法》（2011年住房建部令第9号公布）</w:t>
            </w:r>
          </w:p>
          <w:p w14:paraId="58E8504C">
            <w:pPr>
              <w:adjustRightInd w:val="0"/>
              <w:snapToGrid w:val="0"/>
              <w:spacing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1"/>
                <w:sz w:val="18"/>
                <w:szCs w:val="18"/>
                <w:highlight w:val="none"/>
                <w:lang w:bidi="ar"/>
              </w:rPr>
              <w:t>第四十八条　建制镇建设行政主管部门应当执行有关城建监察的规定，确定执法人员，对建制镇规划、市政公用设施、园林绿化和环境卫生、风景名胜的实施情况进行执法检查。</w:t>
            </w:r>
          </w:p>
        </w:tc>
        <w:tc>
          <w:tcPr>
            <w:tcW w:w="1215" w:type="dxa"/>
            <w:noWrap w:val="0"/>
            <w:vAlign w:val="center"/>
          </w:tcPr>
          <w:p w14:paraId="27A0F08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116B5B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1.未按规定履行监督检查职责的；</w:t>
            </w:r>
          </w:p>
          <w:p w14:paraId="523C860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2.发现存在问题未及时通知整改的；</w:t>
            </w:r>
          </w:p>
          <w:p w14:paraId="18D90E3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3.监督检查过程中存在滥用职权、玩忽职守、徇私舞弊行为的；</w:t>
            </w:r>
          </w:p>
          <w:p w14:paraId="6490614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4.在行政监督过程中发生腐败行为的；</w:t>
            </w:r>
          </w:p>
          <w:p w14:paraId="08B32BD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w:t>
            </w:r>
          </w:p>
          <w:p w14:paraId="40C9D616">
            <w:pPr>
              <w:adjustRightInd w:val="0"/>
              <w:snapToGrid w:val="0"/>
              <w:rPr>
                <w:rFonts w:hint="eastAsia" w:ascii="仿宋_GB2312" w:hAnsi="仿宋_GB2312" w:eastAsia="仿宋_GB2312" w:cs="仿宋_GB2312"/>
                <w:color w:val="auto"/>
                <w:kern w:val="21"/>
                <w:sz w:val="18"/>
                <w:szCs w:val="18"/>
                <w:highlight w:val="none"/>
                <w:lang w:val="en-US" w:eastAsia="zh-CN" w:bidi="ar"/>
              </w:rPr>
            </w:pP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2F5F5AF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050838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7EFD0BF9">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64C4FE4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1209F20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3D4ADE86">
            <w:pPr>
              <w:adjustRightInd w:val="0"/>
              <w:snapToGrid w:val="0"/>
              <w:spacing w:line="240" w:lineRule="exact"/>
              <w:rPr>
                <w:rFonts w:hint="eastAsia" w:ascii="仿宋_GB2312" w:hAnsi="仿宋_GB2312" w:eastAsia="仿宋_GB2312" w:cs="仿宋_GB2312"/>
                <w:color w:val="auto"/>
                <w:kern w:val="21"/>
                <w:sz w:val="18"/>
                <w:szCs w:val="18"/>
                <w:highlight w:val="none"/>
                <w:lang w:val="en-US" w:eastAsia="zh-CN" w:bidi="ar"/>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515D355A">
            <w:pPr>
              <w:adjustRightInd w:val="0"/>
              <w:snapToGrid w:val="0"/>
              <w:spacing w:line="240" w:lineRule="exac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3、给予行政机关责令限期整改、通报批评、取消评比先进资格等责任追究；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5、其他法律法规规章文件规定的责任承担方式。</w:t>
            </w:r>
          </w:p>
          <w:p w14:paraId="19881F67">
            <w:pPr>
              <w:adjustRightInd w:val="0"/>
              <w:snapToGrid w:val="0"/>
              <w:spacing w:line="240" w:lineRule="exact"/>
              <w:ind w:firstLine="360" w:firstLineChars="200"/>
              <w:rPr>
                <w:rFonts w:hint="eastAsia" w:ascii="仿宋_GB2312" w:hAnsi="仿宋_GB2312" w:eastAsia="仿宋_GB2312" w:cs="仿宋_GB2312"/>
                <w:color w:val="auto"/>
                <w:sz w:val="18"/>
                <w:szCs w:val="18"/>
                <w:highlight w:val="none"/>
              </w:rPr>
            </w:pPr>
          </w:p>
          <w:p w14:paraId="6B0A9A8B">
            <w:pPr>
              <w:adjustRightInd w:val="0"/>
              <w:snapToGrid w:val="0"/>
              <w:spacing w:line="240" w:lineRule="exact"/>
              <w:ind w:firstLine="360" w:firstLineChars="200"/>
              <w:rPr>
                <w:rFonts w:hint="eastAsia" w:ascii="仿宋_GB2312" w:hAnsi="仿宋_GB2312" w:eastAsia="仿宋_GB2312" w:cs="仿宋_GB2312"/>
                <w:color w:val="auto"/>
                <w:sz w:val="18"/>
                <w:szCs w:val="18"/>
                <w:highlight w:val="none"/>
              </w:rPr>
            </w:pPr>
          </w:p>
          <w:p w14:paraId="0DC80FE8">
            <w:pPr>
              <w:adjustRightInd w:val="0"/>
              <w:snapToGrid w:val="0"/>
              <w:spacing w:line="240" w:lineRule="exact"/>
              <w:ind w:firstLine="360" w:firstLineChars="200"/>
              <w:rPr>
                <w:rFonts w:hint="eastAsia" w:ascii="仿宋_GB2312" w:hAnsi="仿宋_GB2312" w:eastAsia="仿宋_GB2312" w:cs="仿宋_GB2312"/>
                <w:color w:val="auto"/>
                <w:sz w:val="18"/>
                <w:szCs w:val="18"/>
                <w:highlight w:val="none"/>
              </w:rPr>
            </w:pPr>
          </w:p>
          <w:p w14:paraId="624D5177">
            <w:p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lang w:val="en-US" w:eastAsia="zh-CN" w:bidi="ar-SA"/>
              </w:rPr>
            </w:pPr>
          </w:p>
        </w:tc>
        <w:tc>
          <w:tcPr>
            <w:tcW w:w="3242" w:type="dxa"/>
            <w:noWrap w:val="0"/>
            <w:vAlign w:val="center"/>
          </w:tcPr>
          <w:p w14:paraId="7B0D1C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692A6A42">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95A29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36BA60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B19DE6B">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0BD5155">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185907C">
            <w:pPr>
              <w:adjustRightInd w:val="0"/>
              <w:snapToGrid w:val="0"/>
              <w:spacing w:line="240" w:lineRule="exact"/>
              <w:rPr>
                <w:rFonts w:hint="eastAsia" w:ascii="仿宋_GB2312" w:hAnsi="仿宋_GB2312" w:eastAsia="仿宋_GB2312" w:cs="仿宋_GB2312"/>
                <w:color w:val="auto"/>
                <w:kern w:val="2"/>
                <w:sz w:val="18"/>
                <w:szCs w:val="18"/>
                <w:highlight w:val="none"/>
                <w:lang w:val="en-US" w:eastAsia="zh-CN" w:bidi="ar-SA"/>
              </w:rPr>
            </w:pPr>
          </w:p>
        </w:tc>
      </w:tr>
      <w:tr w14:paraId="0F02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8A160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w:t>
            </w:r>
          </w:p>
        </w:tc>
        <w:tc>
          <w:tcPr>
            <w:tcW w:w="612" w:type="dxa"/>
            <w:noWrap w:val="0"/>
            <w:vAlign w:val="center"/>
          </w:tcPr>
          <w:p w14:paraId="6F38C2CD">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1"/>
                <w:sz w:val="18"/>
                <w:szCs w:val="18"/>
                <w:highlight w:val="none"/>
              </w:rPr>
              <w:t>对城市绿线的控制和实施情况的检查</w:t>
            </w:r>
          </w:p>
        </w:tc>
        <w:tc>
          <w:tcPr>
            <w:tcW w:w="615" w:type="dxa"/>
            <w:noWrap w:val="0"/>
            <w:vAlign w:val="center"/>
          </w:tcPr>
          <w:p w14:paraId="29A65DB1">
            <w:pPr>
              <w:jc w:val="both"/>
              <w:rPr>
                <w:rFonts w:hint="default"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17065EE3">
            <w:pPr>
              <w:adjustRightInd w:val="0"/>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rPr>
              <w:t>0614016000</w:t>
            </w:r>
          </w:p>
        </w:tc>
        <w:tc>
          <w:tcPr>
            <w:tcW w:w="1650" w:type="dxa"/>
            <w:noWrap w:val="0"/>
            <w:vAlign w:val="top"/>
          </w:tcPr>
          <w:p w14:paraId="4DB29A55">
            <w:pPr>
              <w:ind w:firstLine="360" w:firstLineChars="200"/>
              <w:textAlignment w:val="center"/>
              <w:rPr>
                <w:rFonts w:hint="eastAsia" w:ascii="仿宋_GB2312" w:hAnsi="仿宋_GB2312" w:eastAsia="仿宋_GB2312" w:cs="仿宋_GB2312"/>
                <w:color w:val="auto"/>
                <w:kern w:val="21"/>
                <w:sz w:val="18"/>
                <w:szCs w:val="18"/>
                <w:highlight w:val="none"/>
              </w:rPr>
            </w:pPr>
            <w:r>
              <w:rPr>
                <w:rFonts w:hint="eastAsia" w:ascii="仿宋_GB2312" w:hAnsi="仿宋_GB2312" w:eastAsia="仿宋_GB2312" w:cs="仿宋_GB2312"/>
                <w:color w:val="auto"/>
                <w:kern w:val="21"/>
                <w:sz w:val="18"/>
                <w:szCs w:val="18"/>
                <w:highlight w:val="none"/>
              </w:rPr>
              <w:t>【部门规章】《城市绿线管理办法》（2011年住建部令第9号修正）</w:t>
            </w:r>
          </w:p>
          <w:p w14:paraId="76B8F801">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rPr>
              <w:t>第十四条  城市人民政府规划、园林绿化行政主管部门按照职责分工，对城市绿线的控制和实施情况进行检查，并向同级人民政府和上级行政主管部门报告。</w:t>
            </w:r>
          </w:p>
        </w:tc>
        <w:tc>
          <w:tcPr>
            <w:tcW w:w="615" w:type="dxa"/>
            <w:noWrap w:val="0"/>
            <w:vAlign w:val="center"/>
          </w:tcPr>
          <w:p w14:paraId="5AC42031">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rPr>
              <w:t>对城市绿线的控制和实施情况的检查</w:t>
            </w:r>
          </w:p>
        </w:tc>
        <w:tc>
          <w:tcPr>
            <w:tcW w:w="1410" w:type="dxa"/>
            <w:noWrap w:val="0"/>
            <w:vAlign w:val="center"/>
          </w:tcPr>
          <w:p w14:paraId="0900D06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1.检查责任：依法</w:t>
            </w: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城市绿线管理情况</w:t>
            </w:r>
            <w:r>
              <w:rPr>
                <w:rFonts w:hint="eastAsia" w:ascii="仿宋_GB2312" w:hAnsi="仿宋_GB2312" w:eastAsia="仿宋_GB2312" w:cs="仿宋_GB2312"/>
                <w:color w:val="auto"/>
                <w:kern w:val="0"/>
                <w:sz w:val="18"/>
                <w:szCs w:val="18"/>
                <w:highlight w:val="none"/>
              </w:rPr>
              <w:t>进行监督检验。</w:t>
            </w:r>
            <w:r>
              <w:rPr>
                <w:rFonts w:hint="eastAsia" w:ascii="仿宋_GB2312" w:hAnsi="仿宋_GB2312" w:eastAsia="仿宋_GB2312" w:cs="仿宋_GB2312"/>
                <w:color w:val="auto"/>
                <w:sz w:val="18"/>
                <w:szCs w:val="18"/>
                <w:highlight w:val="none"/>
              </w:rPr>
              <w:t xml:space="preserve"> </w:t>
            </w:r>
          </w:p>
          <w:p w14:paraId="17579B9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2.处理责任：在监督检查过程中，发现违法违规行为，应当责令立即纠正，依法予以处理。</w:t>
            </w:r>
          </w:p>
          <w:p w14:paraId="0B8BC07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3.复查责任：依据责令限期改正期限或当事人的复查申请，对违法行为进行复查。</w:t>
            </w:r>
          </w:p>
          <w:p w14:paraId="1A47AFB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.归档责任：对检查工作中形成的材料，应当及时进行整理，立卷归档。</w:t>
            </w:r>
          </w:p>
          <w:p w14:paraId="22F3D65F">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.其他法律法规规章文件规定应履行的责任。</w:t>
            </w:r>
          </w:p>
        </w:tc>
        <w:tc>
          <w:tcPr>
            <w:tcW w:w="1440" w:type="dxa"/>
            <w:noWrap w:val="0"/>
            <w:vAlign w:val="center"/>
          </w:tcPr>
          <w:p w14:paraId="7EEE3E2C">
            <w:pPr>
              <w:ind w:firstLine="360" w:firstLineChars="200"/>
              <w:textAlignment w:val="center"/>
              <w:rPr>
                <w:rFonts w:hint="eastAsia" w:ascii="仿宋_GB2312" w:hAnsi="仿宋_GB2312" w:eastAsia="仿宋_GB2312" w:cs="仿宋_GB2312"/>
                <w:color w:val="auto"/>
                <w:kern w:val="21"/>
                <w:sz w:val="18"/>
                <w:szCs w:val="18"/>
                <w:highlight w:val="none"/>
                <w:lang w:bidi="ar"/>
              </w:rPr>
            </w:pPr>
            <w:r>
              <w:rPr>
                <w:rFonts w:hint="eastAsia" w:ascii="仿宋_GB2312" w:hAnsi="仿宋_GB2312" w:eastAsia="仿宋_GB2312" w:cs="仿宋_GB2312"/>
                <w:color w:val="auto"/>
                <w:kern w:val="21"/>
                <w:sz w:val="18"/>
                <w:szCs w:val="18"/>
                <w:highlight w:val="none"/>
                <w:lang w:bidi="ar"/>
              </w:rPr>
              <w:t>【部门规章】《建制镇规划建设管理办法》（2011年住房建部令第9号公布）</w:t>
            </w:r>
          </w:p>
          <w:p w14:paraId="4D0DD87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lang w:bidi="ar"/>
              </w:rPr>
              <w:t>第四十八条　建制镇建设行政主管部门应当执行有关城建监察的规定，确定执法人员，对建制镇规划、市政公用设施、园林绿化和环境卫生、风景名胜的实施情况进行执法检查。</w:t>
            </w:r>
          </w:p>
        </w:tc>
        <w:tc>
          <w:tcPr>
            <w:tcW w:w="1215" w:type="dxa"/>
            <w:noWrap w:val="0"/>
            <w:vAlign w:val="center"/>
          </w:tcPr>
          <w:p w14:paraId="7F960B5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7745DA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1.未按规定履行监督检查职责的；</w:t>
            </w:r>
          </w:p>
          <w:p w14:paraId="4B90243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2.发现存在问题未及时通知整改的；</w:t>
            </w:r>
          </w:p>
          <w:p w14:paraId="46849AB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3.监督检查过程中存在滥用职权、玩忽职守、徇私舞弊行为的；</w:t>
            </w:r>
          </w:p>
          <w:p w14:paraId="0729123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4.在行政监督过程中发生腐败行为的；</w:t>
            </w:r>
          </w:p>
          <w:p w14:paraId="215C713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w:t>
            </w:r>
          </w:p>
          <w:p w14:paraId="6853CD0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063AB09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68AFD66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19B3D917">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29CF15C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71F949C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6D5ED56C">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5890B16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4E013D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p>
          <w:p w14:paraId="19B9098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p>
          <w:p w14:paraId="64E1839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83DA4C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0FF503C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063C1D9D">
            <w:pPr>
              <w:adjustRightInd w:val="0"/>
              <w:snapToGrid w:val="0"/>
              <w:rPr>
                <w:rFonts w:hint="eastAsia" w:ascii="仿宋_GB2312" w:hAnsi="仿宋_GB2312" w:eastAsia="仿宋_GB2312" w:cs="仿宋_GB2312"/>
                <w:color w:val="auto"/>
                <w:sz w:val="18"/>
                <w:szCs w:val="18"/>
                <w:highlight w:val="none"/>
              </w:rPr>
            </w:pPr>
          </w:p>
          <w:p w14:paraId="1C452DC5">
            <w:pPr>
              <w:adjustRightInd w:val="0"/>
              <w:snapToGrid w:val="0"/>
              <w:rPr>
                <w:rFonts w:hint="eastAsia" w:ascii="仿宋_GB2312" w:hAnsi="仿宋_GB2312" w:eastAsia="仿宋_GB2312" w:cs="仿宋_GB2312"/>
                <w:color w:val="auto"/>
                <w:sz w:val="18"/>
                <w:szCs w:val="18"/>
                <w:highlight w:val="none"/>
              </w:rPr>
            </w:pPr>
          </w:p>
          <w:p w14:paraId="3D176E3F">
            <w:pPr>
              <w:adjustRightInd w:val="0"/>
              <w:snapToGrid w:val="0"/>
              <w:rPr>
                <w:rFonts w:hint="eastAsia" w:ascii="仿宋_GB2312" w:hAnsi="仿宋_GB2312" w:eastAsia="仿宋_GB2312" w:cs="仿宋_GB2312"/>
                <w:color w:val="auto"/>
                <w:sz w:val="18"/>
                <w:szCs w:val="18"/>
                <w:highlight w:val="none"/>
              </w:rPr>
            </w:pPr>
          </w:p>
          <w:p w14:paraId="642003CB">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3242" w:type="dxa"/>
            <w:noWrap w:val="0"/>
            <w:vAlign w:val="center"/>
          </w:tcPr>
          <w:p w14:paraId="32A463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EF37D3F">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1EFB6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56B12C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692FF07">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11098CA">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CA41FA0">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792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195938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w:t>
            </w:r>
          </w:p>
        </w:tc>
        <w:tc>
          <w:tcPr>
            <w:tcW w:w="612" w:type="dxa"/>
            <w:noWrap w:val="0"/>
            <w:vAlign w:val="center"/>
          </w:tcPr>
          <w:p w14:paraId="73C97C74">
            <w:pPr>
              <w:textAlignment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21"/>
                <w:sz w:val="18"/>
                <w:szCs w:val="18"/>
                <w:highlight w:val="none"/>
              </w:rPr>
              <w:t>对单位附属绿地的绿化规划和建设的监督检查</w:t>
            </w:r>
          </w:p>
        </w:tc>
        <w:tc>
          <w:tcPr>
            <w:tcW w:w="615" w:type="dxa"/>
            <w:noWrap w:val="0"/>
            <w:vAlign w:val="center"/>
          </w:tcPr>
          <w:p w14:paraId="358227A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3FC52520">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rPr>
              <w:t>0614026000</w:t>
            </w:r>
          </w:p>
        </w:tc>
        <w:tc>
          <w:tcPr>
            <w:tcW w:w="1650" w:type="dxa"/>
            <w:noWrap w:val="0"/>
            <w:vAlign w:val="center"/>
          </w:tcPr>
          <w:p w14:paraId="4AD9738E">
            <w:pPr>
              <w:ind w:firstLine="360" w:firstLineChars="200"/>
              <w:textAlignment w:val="center"/>
              <w:rPr>
                <w:rFonts w:hint="eastAsia" w:ascii="仿宋_GB2312" w:hAnsi="仿宋_GB2312" w:eastAsia="仿宋_GB2312" w:cs="仿宋_GB2312"/>
                <w:color w:val="auto"/>
                <w:kern w:val="21"/>
                <w:sz w:val="18"/>
                <w:szCs w:val="18"/>
                <w:highlight w:val="none"/>
              </w:rPr>
            </w:pPr>
            <w:r>
              <w:rPr>
                <w:rFonts w:hint="eastAsia" w:ascii="仿宋_GB2312" w:hAnsi="仿宋_GB2312" w:eastAsia="仿宋_GB2312" w:cs="仿宋_GB2312"/>
                <w:color w:val="auto"/>
                <w:kern w:val="21"/>
                <w:sz w:val="18"/>
                <w:szCs w:val="18"/>
                <w:highlight w:val="none"/>
              </w:rPr>
              <w:t>【行政法规】《城市绿化条例》（2017年国务院令第676号修正）</w:t>
            </w:r>
          </w:p>
          <w:p w14:paraId="4A39EB44">
            <w:pPr>
              <w:ind w:firstLine="360" w:firstLineChars="200"/>
              <w:textAlignment w:val="center"/>
              <w:rPr>
                <w:rFonts w:hint="eastAsia" w:ascii="仿宋_GB2312" w:hAnsi="仿宋_GB2312" w:eastAsia="仿宋_GB2312" w:cs="仿宋_GB2312"/>
                <w:color w:val="auto"/>
                <w:kern w:val="21"/>
                <w:sz w:val="18"/>
                <w:szCs w:val="18"/>
                <w:highlight w:val="none"/>
              </w:rPr>
            </w:pPr>
            <w:r>
              <w:rPr>
                <w:rFonts w:hint="eastAsia" w:ascii="仿宋_GB2312" w:hAnsi="仿宋_GB2312" w:eastAsia="仿宋_GB2312" w:cs="仿宋_GB2312"/>
                <w:color w:val="auto"/>
                <w:kern w:val="21"/>
                <w:sz w:val="18"/>
                <w:szCs w:val="18"/>
                <w:highlight w:val="none"/>
              </w:rPr>
              <w:t>第十四条  单位附属绿地的绿化规划和建设，由该单位自行负责，城市人民政府绿化行政主管部门应该监督检查，并给予技术指导。</w:t>
            </w:r>
          </w:p>
          <w:p w14:paraId="7B4176F7">
            <w:pPr>
              <w:ind w:firstLine="360" w:firstLineChars="200"/>
              <w:textAlignment w:val="center"/>
              <w:rPr>
                <w:rFonts w:hint="eastAsia" w:ascii="仿宋_GB2312" w:hAnsi="仿宋_GB2312" w:eastAsia="仿宋_GB2312" w:cs="仿宋_GB2312"/>
                <w:color w:val="auto"/>
                <w:kern w:val="21"/>
                <w:sz w:val="18"/>
                <w:szCs w:val="18"/>
                <w:highlight w:val="none"/>
              </w:rPr>
            </w:pPr>
            <w:r>
              <w:rPr>
                <w:rFonts w:hint="eastAsia" w:ascii="仿宋_GB2312" w:hAnsi="仿宋_GB2312" w:eastAsia="仿宋_GB2312" w:cs="仿宋_GB2312"/>
                <w:color w:val="auto"/>
                <w:kern w:val="21"/>
                <w:sz w:val="18"/>
                <w:szCs w:val="18"/>
                <w:highlight w:val="none"/>
              </w:rPr>
              <w:t>【地方性法规】《宁夏回族自治区城市绿化管理条例》（201</w:t>
            </w:r>
            <w:r>
              <w:rPr>
                <w:rFonts w:hint="eastAsia" w:ascii="仿宋_GB2312" w:hAnsi="仿宋_GB2312" w:eastAsia="仿宋_GB2312" w:cs="仿宋_GB2312"/>
                <w:color w:val="auto"/>
                <w:kern w:val="21"/>
                <w:sz w:val="18"/>
                <w:szCs w:val="18"/>
                <w:highlight w:val="none"/>
                <w:lang w:val="en-US" w:eastAsia="zh-CN"/>
              </w:rPr>
              <w:t>9</w:t>
            </w:r>
            <w:r>
              <w:rPr>
                <w:rFonts w:hint="eastAsia" w:ascii="仿宋_GB2312" w:hAnsi="仿宋_GB2312" w:eastAsia="仿宋_GB2312" w:cs="仿宋_GB2312"/>
                <w:color w:val="auto"/>
                <w:kern w:val="21"/>
                <w:sz w:val="18"/>
                <w:szCs w:val="18"/>
                <w:highlight w:val="none"/>
              </w:rPr>
              <w:t>年修</w:t>
            </w:r>
            <w:r>
              <w:rPr>
                <w:rFonts w:hint="eastAsia" w:ascii="仿宋_GB2312" w:hAnsi="仿宋_GB2312" w:eastAsia="仿宋_GB2312" w:cs="仿宋_GB2312"/>
                <w:color w:val="auto"/>
                <w:kern w:val="21"/>
                <w:sz w:val="18"/>
                <w:szCs w:val="18"/>
                <w:highlight w:val="none"/>
                <w:lang w:eastAsia="zh-CN"/>
              </w:rPr>
              <w:t>正</w:t>
            </w:r>
            <w:r>
              <w:rPr>
                <w:rFonts w:hint="eastAsia" w:ascii="仿宋_GB2312" w:hAnsi="仿宋_GB2312" w:eastAsia="仿宋_GB2312" w:cs="仿宋_GB2312"/>
                <w:color w:val="auto"/>
                <w:kern w:val="21"/>
                <w:sz w:val="18"/>
                <w:szCs w:val="18"/>
                <w:highlight w:val="none"/>
              </w:rPr>
              <w:t>）</w:t>
            </w:r>
          </w:p>
          <w:p w14:paraId="27B02084">
            <w:p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rPr>
              <w:t>第十三条 工程建设项目的附属绿化工程设计方案，按照基本建设程序审批时，必须有城市绿化行政主管部门参加审查。单位附属绿地的绿化规划和建设，由该单位自行负责，城市绿化行政主管部门进行监督检查，并给予技术指导。</w:t>
            </w:r>
          </w:p>
        </w:tc>
        <w:tc>
          <w:tcPr>
            <w:tcW w:w="615" w:type="dxa"/>
            <w:noWrap w:val="0"/>
            <w:vAlign w:val="center"/>
          </w:tcPr>
          <w:p w14:paraId="172C86B6">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rPr>
              <w:t>对单位附属绿地的绿化规划和建设的监督检查</w:t>
            </w:r>
          </w:p>
        </w:tc>
        <w:tc>
          <w:tcPr>
            <w:tcW w:w="1410" w:type="dxa"/>
            <w:noWrap w:val="0"/>
            <w:vAlign w:val="center"/>
          </w:tcPr>
          <w:p w14:paraId="3354A73E">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1.检查责任：林业主管部门根据相关规定对单位附属绿地的绿化规划和建设的监督检查进行检疫检查。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2.处理责任：在监督检查过程中，给予技术指导。</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3.复查责任：依据责令限期改正期限或当事人的复查申请，对违法行为进行复查。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4.归档责任：在监督检查后，对未发现违法行为或已改正违法行为等内容的相关资料进行归档。</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w:t>
            </w:r>
            <w:r>
              <w:rPr>
                <w:rFonts w:hint="eastAsia" w:ascii="仿宋_GB2312" w:hAnsi="仿宋_GB2312" w:eastAsia="仿宋_GB2312" w:cs="仿宋_GB2312"/>
                <w:bCs/>
                <w:color w:val="auto"/>
                <w:sz w:val="18"/>
                <w:szCs w:val="18"/>
                <w:highlight w:val="none"/>
              </w:rPr>
              <w:t>其他法律法规规章文件规定应履行的责任。</w:t>
            </w:r>
          </w:p>
        </w:tc>
        <w:tc>
          <w:tcPr>
            <w:tcW w:w="1440" w:type="dxa"/>
            <w:noWrap w:val="0"/>
            <w:vAlign w:val="center"/>
          </w:tcPr>
          <w:p w14:paraId="5F499A75">
            <w:pPr>
              <w:ind w:firstLine="360" w:firstLineChars="200"/>
              <w:textAlignment w:val="center"/>
              <w:rPr>
                <w:rFonts w:hint="eastAsia" w:ascii="仿宋_GB2312" w:hAnsi="仿宋_GB2312" w:eastAsia="仿宋_GB2312" w:cs="仿宋_GB2312"/>
                <w:color w:val="auto"/>
                <w:kern w:val="21"/>
                <w:sz w:val="18"/>
                <w:szCs w:val="18"/>
                <w:highlight w:val="none"/>
                <w:lang w:bidi="ar"/>
              </w:rPr>
            </w:pPr>
            <w:r>
              <w:rPr>
                <w:rFonts w:hint="eastAsia" w:ascii="仿宋_GB2312" w:hAnsi="仿宋_GB2312" w:eastAsia="仿宋_GB2312" w:cs="仿宋_GB2312"/>
                <w:color w:val="auto"/>
                <w:kern w:val="21"/>
                <w:sz w:val="18"/>
                <w:szCs w:val="18"/>
                <w:highlight w:val="none"/>
                <w:lang w:bidi="ar"/>
              </w:rPr>
              <w:t>1、【行政法规】《城市绿化条例》（2017年国务院令第676号修正）</w:t>
            </w:r>
          </w:p>
          <w:p w14:paraId="65088A8F">
            <w:pPr>
              <w:ind w:firstLine="360" w:firstLineChars="200"/>
              <w:textAlignment w:val="center"/>
              <w:rPr>
                <w:rFonts w:hint="eastAsia" w:ascii="仿宋_GB2312" w:hAnsi="仿宋_GB2312" w:eastAsia="仿宋_GB2312" w:cs="仿宋_GB2312"/>
                <w:color w:val="auto"/>
                <w:kern w:val="21"/>
                <w:sz w:val="18"/>
                <w:szCs w:val="18"/>
                <w:highlight w:val="none"/>
                <w:lang w:bidi="ar"/>
              </w:rPr>
            </w:pPr>
            <w:r>
              <w:rPr>
                <w:rFonts w:hint="eastAsia" w:ascii="仿宋_GB2312" w:hAnsi="仿宋_GB2312" w:eastAsia="仿宋_GB2312" w:cs="仿宋_GB2312"/>
                <w:color w:val="auto"/>
                <w:kern w:val="21"/>
                <w:sz w:val="18"/>
                <w:szCs w:val="18"/>
                <w:highlight w:val="none"/>
                <w:lang w:bidi="ar"/>
              </w:rPr>
              <w:t>第十四条  单位附属绿地的绿化规划和建设，由该单位自行负责，城市人民政府绿化行政主管部门应该监督检查，并给予技术指导。</w:t>
            </w:r>
          </w:p>
          <w:p w14:paraId="62F804AF">
            <w:pPr>
              <w:textAlignment w:val="center"/>
              <w:rPr>
                <w:rFonts w:hint="eastAsia" w:ascii="仿宋_GB2312" w:hAnsi="仿宋_GB2312" w:eastAsia="仿宋_GB2312" w:cs="仿宋_GB2312"/>
                <w:color w:val="auto"/>
                <w:kern w:val="21"/>
                <w:sz w:val="18"/>
                <w:szCs w:val="18"/>
                <w:highlight w:val="none"/>
                <w:lang w:bidi="ar"/>
              </w:rPr>
            </w:pPr>
            <w:r>
              <w:rPr>
                <w:rFonts w:hint="eastAsia" w:ascii="仿宋_GB2312" w:hAnsi="仿宋_GB2312" w:eastAsia="仿宋_GB2312" w:cs="仿宋_GB2312"/>
                <w:color w:val="auto"/>
                <w:kern w:val="21"/>
                <w:sz w:val="18"/>
                <w:szCs w:val="18"/>
                <w:highlight w:val="none"/>
                <w:lang w:bidi="ar"/>
              </w:rPr>
              <w:t>2、【地方性法规】《宁夏回族自治区城市绿化管理条例》（2015年修改）</w:t>
            </w:r>
          </w:p>
          <w:p w14:paraId="2BEDA4B8">
            <w:pPr>
              <w:numPr>
                <w:ilvl w:val="0"/>
                <w:numId w:val="5"/>
              </w:num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1"/>
                <w:sz w:val="18"/>
                <w:szCs w:val="18"/>
                <w:highlight w:val="none"/>
                <w:lang w:bidi="ar"/>
              </w:rPr>
              <w:t>工程建设项目的附属绿化工程设计方案，按照基本建设程序审批时，必须有城市绿化行政主管部门参加审查、同意。单位附属绿地的绿化规划和建设，由该单位自行负责，城市绿化行政主管部门进行监督检查，并给予技术指导。</w:t>
            </w:r>
          </w:p>
        </w:tc>
        <w:tc>
          <w:tcPr>
            <w:tcW w:w="1215" w:type="dxa"/>
            <w:noWrap w:val="0"/>
            <w:vAlign w:val="center"/>
          </w:tcPr>
          <w:p w14:paraId="525263EC">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1.未按规定履行监督检查职责的；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2.发现存在问题未及时通知整改的；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 监督检查过程中存在滥用职权、玩忽职守、徇私舞弊行为的；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 在行政监督检查过程中发生腐败行为的；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 未按裁量权规定，滥用裁量权的；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46CB437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7A404A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5FE7B926">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4AFF2C2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18AB581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5EC687C4">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3AD5AE6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1.给予检查人责令作出书面检查、批评教育、取消年度评比先进资格、离岗培训、调离工作岗位、以及行政处分等责任追究；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2.给予复查人和批准人诫勉谈话、责令限期整改、责令作出书面检查、责令公开道歉、取消年度评比先进资格、通报批评、责令停职反省或者责令辞职、建议免职以及行政处分等责任追究；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3、给予林业主管部门责令限期整改、通报批评、取消评比先进资格等责任追究；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23BE0442">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1F3F384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8B09779">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0CC89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5DCF78E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515849C">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3F1A325">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3BF9249">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p>
        </w:tc>
      </w:tr>
      <w:tr w14:paraId="1E84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A3DF5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w:t>
            </w:r>
          </w:p>
        </w:tc>
        <w:tc>
          <w:tcPr>
            <w:tcW w:w="612" w:type="dxa"/>
            <w:noWrap w:val="0"/>
            <w:vAlign w:val="center"/>
          </w:tcPr>
          <w:p w14:paraId="2E6DCA4A">
            <w:pPr>
              <w:widowControl/>
              <w:adjustRightInd w:val="0"/>
              <w:snapToGrid w:val="0"/>
              <w:spacing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对禁牧封育工作的监督检查</w:t>
            </w:r>
          </w:p>
        </w:tc>
        <w:tc>
          <w:tcPr>
            <w:tcW w:w="615" w:type="dxa"/>
            <w:noWrap w:val="0"/>
            <w:vAlign w:val="center"/>
          </w:tcPr>
          <w:p w14:paraId="07F558A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4EE1AC30">
            <w:pPr>
              <w:widowControl/>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0617011000</w:t>
            </w:r>
          </w:p>
        </w:tc>
        <w:tc>
          <w:tcPr>
            <w:tcW w:w="1650" w:type="dxa"/>
            <w:noWrap w:val="0"/>
            <w:vAlign w:val="center"/>
          </w:tcPr>
          <w:p w14:paraId="09F68B0D">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【地方性法规】《宁夏回族自治区禁牧封育条例》（2011年修订）</w:t>
            </w:r>
          </w:p>
          <w:p w14:paraId="13E31A2B">
            <w:pPr>
              <w:numPr>
                <w:ilvl w:val="0"/>
                <w:numId w:val="6"/>
              </w:numPr>
              <w:snapToGrid w:val="0"/>
              <w:ind w:left="0"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第一款县级以上人民政府农牧、林业主管部门和乡（镇）人民政府应当建立禁牧区域的巡查制度、举报制度和情况通报制度，加强对禁牧封育工作的监督检查。</w:t>
            </w:r>
          </w:p>
          <w:p w14:paraId="62E1B61A">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第二十条 农牧、林业主管部门和乡(镇)人民政府监督检查人员履行监督检查职责时，有权采取以下措施:</w:t>
            </w:r>
          </w:p>
          <w:p w14:paraId="2505C0D1">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(一)要求被检查单位或者个人提供相关的文件和资料，并可以进行查阅或者复制;</w:t>
            </w:r>
          </w:p>
          <w:p w14:paraId="27FA8F55">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(二)要求被检查单位或者个人对草原、林地权属等情况作出说明;</w:t>
            </w:r>
          </w:p>
          <w:p w14:paraId="1D7911CD">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(三)进入违法现场进行拍照、摄像和勘验;</w:t>
            </w:r>
          </w:p>
          <w:p w14:paraId="177F6084">
            <w:p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(四)责令停止违法行为;</w:t>
            </w:r>
          </w:p>
        </w:tc>
        <w:tc>
          <w:tcPr>
            <w:tcW w:w="615" w:type="dxa"/>
            <w:noWrap w:val="0"/>
            <w:vAlign w:val="center"/>
          </w:tcPr>
          <w:p w14:paraId="70DEBA25">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对禁牧封育工作的监督检查</w:t>
            </w:r>
          </w:p>
        </w:tc>
        <w:tc>
          <w:tcPr>
            <w:tcW w:w="1410" w:type="dxa"/>
            <w:noWrap w:val="0"/>
            <w:vAlign w:val="center"/>
          </w:tcPr>
          <w:p w14:paraId="38E97664">
            <w:pPr>
              <w:adjustRightInd w:val="0"/>
              <w:snapToGrid w:val="0"/>
              <w:spacing w:line="240" w:lineRule="exac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1.检查责任：根据所掌握情况，及时做好禁牧封育工作的监督检查。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2.处理责任：在监督检查过程中，发现存在违规行为的应当责令限期整改，并处以一定金额的罚款。</w:t>
            </w:r>
          </w:p>
          <w:p w14:paraId="0FF3B742">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3复查责任：依据责令限期改正期限或当事人的复查申请，对违法行为进行复查。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.归档责任：在监督检查后，对已发现的违规行为或已改正违规行为等内容的相关资料进行归档。</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w:t>
            </w:r>
            <w:r>
              <w:rPr>
                <w:rFonts w:hint="eastAsia" w:ascii="仿宋_GB2312" w:hAnsi="仿宋_GB2312" w:eastAsia="仿宋_GB2312" w:cs="仿宋_GB2312"/>
                <w:bCs/>
                <w:color w:val="auto"/>
                <w:sz w:val="18"/>
                <w:szCs w:val="18"/>
                <w:highlight w:val="none"/>
              </w:rPr>
              <w:t>其他法律法规规章文件规定应履行的责任</w:t>
            </w:r>
            <w:r>
              <w:rPr>
                <w:rFonts w:hint="eastAsia" w:ascii="仿宋_GB2312" w:hAnsi="仿宋_GB2312" w:eastAsia="仿宋_GB2312" w:cs="仿宋_GB2312"/>
                <w:b/>
                <w:color w:val="auto"/>
                <w:sz w:val="18"/>
                <w:szCs w:val="18"/>
                <w:highlight w:val="none"/>
              </w:rPr>
              <w:t>。</w:t>
            </w:r>
          </w:p>
        </w:tc>
        <w:tc>
          <w:tcPr>
            <w:tcW w:w="1440" w:type="dxa"/>
            <w:noWrap w:val="0"/>
            <w:vAlign w:val="center"/>
          </w:tcPr>
          <w:p w14:paraId="53682219">
            <w:pPr>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kern w:val="21"/>
                <w:sz w:val="18"/>
                <w:szCs w:val="18"/>
                <w:highlight w:val="none"/>
                <w:lang w:bidi="ar"/>
              </w:rPr>
              <w:t>【</w:t>
            </w:r>
            <w:r>
              <w:rPr>
                <w:rFonts w:hint="eastAsia" w:ascii="仿宋_GB2312" w:hAnsi="仿宋_GB2312" w:eastAsia="仿宋_GB2312" w:cs="仿宋_GB2312"/>
                <w:color w:val="auto"/>
                <w:sz w:val="18"/>
                <w:szCs w:val="18"/>
                <w:highlight w:val="none"/>
              </w:rPr>
              <w:t>地方性法规】《宁夏回族自治区禁牧封育条例》（2011年修订）</w:t>
            </w:r>
          </w:p>
          <w:p w14:paraId="5C205CB5">
            <w:pPr>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第十九条第一款县级以上人民政府农牧、林业主管部门和乡（镇）人民政府应当建立禁牧区域的巡查制度、举报制度和情况通报制度，加强对禁牧封育工作的监督检查。</w:t>
            </w:r>
          </w:p>
          <w:p w14:paraId="3BE69EB0">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第二十条 农牧、林业主管部门和乡(镇)人民政府监督检查人员履行监督检查职责时，有权采取以下措施:</w:t>
            </w:r>
          </w:p>
          <w:p w14:paraId="1C57341F">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(一)要求被检查单位或者个人提供相关的文件和资料，并可以进行查阅或者复制;</w:t>
            </w:r>
          </w:p>
          <w:p w14:paraId="22279066">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(二)要求被检查单位或者个人对草原、林地权属等情况作出说明;</w:t>
            </w:r>
          </w:p>
          <w:p w14:paraId="60BED67D">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(三)进入违法现场进行拍照、摄像和勘验;</w:t>
            </w:r>
          </w:p>
          <w:p w14:paraId="6EEEAC5D">
            <w:p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(四)责令停止违法行为;</w:t>
            </w:r>
          </w:p>
        </w:tc>
        <w:tc>
          <w:tcPr>
            <w:tcW w:w="1215" w:type="dxa"/>
            <w:noWrap w:val="0"/>
            <w:vAlign w:val="center"/>
          </w:tcPr>
          <w:p w14:paraId="24DFC88A">
            <w:pPr>
              <w:adjustRightInd w:val="0"/>
              <w:snapToGrid w:val="0"/>
              <w:spacing w:after="240"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1、未按规定履行监督检查职责的；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2、发现存在问题未及时通知整改的；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3、监督检查过程中存在滥用职权、玩忽职守、徇私舞弊行为的；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4、在行政监督过程中发生腐败行为的；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5、未按裁量权规定，滥用裁量权的；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6、其他违反法律法规规章文件规定的行为。</w:t>
            </w:r>
            <w:r>
              <w:rPr>
                <w:rFonts w:hint="eastAsia" w:ascii="仿宋_GB2312" w:hAnsi="仿宋_GB2312" w:eastAsia="仿宋_GB2312" w:cs="仿宋_GB2312"/>
                <w:color w:val="auto"/>
                <w:sz w:val="18"/>
                <w:szCs w:val="18"/>
                <w:highlight w:val="none"/>
              </w:rPr>
              <w:br w:type="textWrapping"/>
            </w:r>
          </w:p>
        </w:tc>
        <w:tc>
          <w:tcPr>
            <w:tcW w:w="2340" w:type="dxa"/>
            <w:noWrap w:val="0"/>
            <w:vAlign w:val="center"/>
          </w:tcPr>
          <w:p w14:paraId="7C83F77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7D82D8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5FABA221">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1AFEDB7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0691976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4E3891BF">
            <w:pPr>
              <w:adjustRightInd w:val="0"/>
              <w:snapToGrid w:val="0"/>
              <w:spacing w:after="240"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5C3EADB8">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3、给予行政机关责令限期整改、通报批评、取消评比先进资格等责任追究；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58D127F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1842D0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B4897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00D0F7A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009CB07">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0C8FB55E">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2D81765A">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p>
        </w:tc>
      </w:tr>
      <w:tr w14:paraId="4399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4" w:hRule="atLeast"/>
          <w:jc w:val="center"/>
        </w:trPr>
        <w:tc>
          <w:tcPr>
            <w:tcW w:w="501" w:type="dxa"/>
            <w:noWrap w:val="0"/>
            <w:vAlign w:val="center"/>
          </w:tcPr>
          <w:p w14:paraId="08458CC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5</w:t>
            </w:r>
          </w:p>
        </w:tc>
        <w:tc>
          <w:tcPr>
            <w:tcW w:w="612" w:type="dxa"/>
            <w:noWrap w:val="0"/>
            <w:vAlign w:val="center"/>
          </w:tcPr>
          <w:p w14:paraId="5AC34822">
            <w:pPr>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对本行政区域内甘草和麻黄草的采集、出售活动监督检查</w:t>
            </w:r>
          </w:p>
        </w:tc>
        <w:tc>
          <w:tcPr>
            <w:tcW w:w="615" w:type="dxa"/>
            <w:noWrap w:val="0"/>
            <w:vAlign w:val="center"/>
          </w:tcPr>
          <w:p w14:paraId="33BB169B">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无</w:t>
            </w:r>
          </w:p>
        </w:tc>
        <w:tc>
          <w:tcPr>
            <w:tcW w:w="600" w:type="dxa"/>
            <w:noWrap w:val="0"/>
            <w:vAlign w:val="center"/>
          </w:tcPr>
          <w:p w14:paraId="5D926F5F">
            <w:pPr>
              <w:widowControl/>
              <w:adjustRightInd w:val="0"/>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0617012000</w:t>
            </w:r>
          </w:p>
        </w:tc>
        <w:tc>
          <w:tcPr>
            <w:tcW w:w="1650" w:type="dxa"/>
            <w:noWrap w:val="0"/>
            <w:vAlign w:val="center"/>
          </w:tcPr>
          <w:p w14:paraId="0E14C249">
            <w:pPr>
              <w:snapToGrid w:val="0"/>
              <w:ind w:firstLine="270" w:firstLineChars="15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【部门规章】《甘草和麻黄草采集管理办法》（2001农业部令第1号）</w:t>
            </w:r>
          </w:p>
          <w:p w14:paraId="494A01D5">
            <w:pPr>
              <w:snapToGrid w:val="0"/>
              <w:ind w:firstLine="270" w:firstLineChars="15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第二十三条 县级以上人民政府农牧主管部门应当对本行政区域内甘草和麻黄草的采集、出售活动进行监督检查。</w:t>
            </w:r>
          </w:p>
          <w:p w14:paraId="10BDE3DE">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第二十四条 县级以上人民政府农牧行政主管部门在履行监督检查职责时，有权采取下列措施： </w:t>
            </w:r>
          </w:p>
          <w:p w14:paraId="234A93F9">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（一）检查采集者或出售单位和个人的采集证；</w:t>
            </w:r>
          </w:p>
          <w:p w14:paraId="7581B867">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（二）进入采集和出售甘草和麻黄草的现场进行勘测、拍照、摄像等取证活动；</w:t>
            </w:r>
          </w:p>
          <w:p w14:paraId="3F9D0EEA">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（三）询问违法案件的嫌疑人； </w:t>
            </w:r>
          </w:p>
          <w:p w14:paraId="39AE8FE4">
            <w:p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（四）责令停止正在进行的违法采集、出售甘草和麻黄草行为。</w:t>
            </w:r>
          </w:p>
        </w:tc>
        <w:tc>
          <w:tcPr>
            <w:tcW w:w="615" w:type="dxa"/>
            <w:noWrap w:val="0"/>
            <w:vAlign w:val="center"/>
          </w:tcPr>
          <w:p w14:paraId="492EFD73">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对本行政区域内甘草和麻黄草的采集、出售活动监督检查</w:t>
            </w:r>
          </w:p>
        </w:tc>
        <w:tc>
          <w:tcPr>
            <w:tcW w:w="1410" w:type="dxa"/>
            <w:noWrap w:val="0"/>
            <w:vAlign w:val="center"/>
          </w:tcPr>
          <w:p w14:paraId="0F472FBC">
            <w:pPr>
              <w:adjustRightInd w:val="0"/>
              <w:snapToGrid w:val="0"/>
              <w:spacing w:line="240" w:lineRule="exac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1.检查责任：根据所掌握情况，及时做好本行政区域内甘草和麻黄草的采集、出售活动的监督检查。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2.处理责任：在监督检查过程中，发现存在违规行为的应当责令限期整改，并处以一定金额的罚款。</w:t>
            </w:r>
          </w:p>
          <w:p w14:paraId="60DB50A0">
            <w:pPr>
              <w:adjustRightInd w:val="0"/>
              <w:snapToGrid w:val="0"/>
              <w:spacing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复查责任</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依据责令限期改正期限或当事人的复查申请，对违法行为进行复查。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.归档责任：在监督检查后，对已发现的违规行为或已改正违规行为等内容的相关资料进行归档。</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w:t>
            </w:r>
            <w:r>
              <w:rPr>
                <w:rFonts w:hint="eastAsia" w:ascii="仿宋_GB2312" w:hAnsi="仿宋_GB2312" w:eastAsia="仿宋_GB2312" w:cs="仿宋_GB2312"/>
                <w:bCs/>
                <w:color w:val="auto"/>
                <w:sz w:val="18"/>
                <w:szCs w:val="18"/>
                <w:highlight w:val="none"/>
              </w:rPr>
              <w:t>其他法律法规规章文件规定应履行的责任。</w:t>
            </w:r>
          </w:p>
        </w:tc>
        <w:tc>
          <w:tcPr>
            <w:tcW w:w="1440" w:type="dxa"/>
            <w:noWrap w:val="0"/>
            <w:vAlign w:val="center"/>
          </w:tcPr>
          <w:p w14:paraId="59F4C66C">
            <w:pPr>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【部门规章】《甘草和麻黄草采集管理办法》（2001农业部令第1号）</w:t>
            </w:r>
          </w:p>
          <w:p w14:paraId="1501C5EB">
            <w:pPr>
              <w:snapToGrid w:val="0"/>
              <w:ind w:firstLine="270" w:firstLineChars="15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第二十三条 县级以上人民政府农牧主管部门应当对本行政区域内甘草和麻黄草的采集、出售活动进行监督检查。</w:t>
            </w:r>
          </w:p>
          <w:p w14:paraId="259D55EB">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第二十四条 县级以上人民政府农牧行政主管部门在履行监督检查职责时，有权采取下列措施： </w:t>
            </w:r>
          </w:p>
          <w:p w14:paraId="25988044">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（一）检查采集者或出售单位和个人的采集证；</w:t>
            </w:r>
          </w:p>
          <w:p w14:paraId="655342AF">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（二）进入采集和出售甘草和麻黄草的现场进行勘测、拍照、摄像等取证活动；</w:t>
            </w:r>
          </w:p>
          <w:p w14:paraId="19697680">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（三）询问违法案件的嫌疑人； </w:t>
            </w:r>
          </w:p>
          <w:p w14:paraId="2DA5B495">
            <w:pPr>
              <w:adjustRightInd w:val="0"/>
              <w:snapToGrid w:val="0"/>
              <w:spacing w:line="240" w:lineRule="exact"/>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（四）责令停止正在进行的违法采集、出售甘草和麻黄草行为。</w:t>
            </w:r>
          </w:p>
        </w:tc>
        <w:tc>
          <w:tcPr>
            <w:tcW w:w="1215" w:type="dxa"/>
            <w:noWrap w:val="0"/>
            <w:vAlign w:val="center"/>
          </w:tcPr>
          <w:p w14:paraId="4D5F6D12">
            <w:pPr>
              <w:adjustRightInd w:val="0"/>
              <w:snapToGrid w:val="0"/>
              <w:spacing w:after="240" w:afterLines="0"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1、未按规定履行监督检查职责的；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2、发现存在问题未及时通知整改的；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3、监督检查过程中存在滥用职权、玩忽职守、徇私舞弊行为的；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4、在行政监督过程中发生腐败行为的；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5、未按裁量权规定，滥用裁量权的；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1F0DA15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156F463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3B1CA19D">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3E72036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4ACB499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2A418F88">
            <w:pPr>
              <w:adjustRightInd w:val="0"/>
              <w:snapToGrid w:val="0"/>
              <w:spacing w:after="240" w:afterLines="0"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4AE822A1">
            <w:pPr>
              <w:adjustRightInd w:val="0"/>
              <w:snapToGrid w:val="0"/>
              <w:spacing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3、给予行政机关责令限期整改、通报批评、取消评比先进资格等责任追究；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00B4A1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F3C89E1">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078F8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10C979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C4EC10F">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6A74CFA">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A9309BC">
            <w:pPr>
              <w:adjustRightInd w:val="0"/>
              <w:snapToGrid w:val="0"/>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p>
        </w:tc>
      </w:tr>
      <w:tr w14:paraId="2899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38F7A52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6</w:t>
            </w:r>
          </w:p>
        </w:tc>
        <w:tc>
          <w:tcPr>
            <w:tcW w:w="612" w:type="dxa"/>
            <w:noWrap w:val="0"/>
            <w:vAlign w:val="center"/>
          </w:tcPr>
          <w:p w14:paraId="3516035C">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对经营利用国家二级保护野生植物活动的监督检查</w:t>
            </w:r>
          </w:p>
        </w:tc>
        <w:tc>
          <w:tcPr>
            <w:tcW w:w="615" w:type="dxa"/>
            <w:noWrap w:val="0"/>
            <w:vAlign w:val="center"/>
          </w:tcPr>
          <w:p w14:paraId="4BBD883C">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1B3DCF26">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0622001000</w:t>
            </w:r>
          </w:p>
        </w:tc>
        <w:tc>
          <w:tcPr>
            <w:tcW w:w="1650" w:type="dxa"/>
            <w:noWrap w:val="0"/>
            <w:vAlign w:val="center"/>
          </w:tcPr>
          <w:p w14:paraId="5B53D46C">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w:t>
            </w:r>
          </w:p>
          <w:p w14:paraId="15129D0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 《中华人民共和国野生植物保护条例》（2017年国务院令第687号修正）</w:t>
            </w:r>
          </w:p>
          <w:p w14:paraId="52ED584D">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第十九条  野生植物行政主管部门应当对经营利用国家二级保护野生植物的活动进行监督检查。</w:t>
            </w:r>
          </w:p>
        </w:tc>
        <w:tc>
          <w:tcPr>
            <w:tcW w:w="615" w:type="dxa"/>
            <w:noWrap w:val="0"/>
            <w:vAlign w:val="center"/>
          </w:tcPr>
          <w:p w14:paraId="22CA57DA">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对经营利用国家二级保护野生植物活动的监督检查</w:t>
            </w:r>
          </w:p>
        </w:tc>
        <w:tc>
          <w:tcPr>
            <w:tcW w:w="1410" w:type="dxa"/>
            <w:noWrap w:val="0"/>
            <w:vAlign w:val="center"/>
          </w:tcPr>
          <w:p w14:paraId="21F4CE0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1.检查责任：依法</w:t>
            </w:r>
            <w:r>
              <w:rPr>
                <w:rFonts w:hint="eastAsia" w:ascii="仿宋_GB2312" w:hAnsi="仿宋_GB2312" w:eastAsia="仿宋_GB2312" w:cs="仿宋_GB2312"/>
                <w:color w:val="auto"/>
                <w:kern w:val="0"/>
                <w:sz w:val="18"/>
                <w:szCs w:val="18"/>
                <w:highlight w:val="none"/>
              </w:rPr>
              <w:t>对</w:t>
            </w:r>
            <w:r>
              <w:rPr>
                <w:rFonts w:hint="eastAsia" w:ascii="仿宋_GB2312" w:hAnsi="仿宋_GB2312" w:eastAsia="仿宋_GB2312" w:cs="仿宋_GB2312"/>
                <w:color w:val="auto"/>
                <w:sz w:val="18"/>
                <w:szCs w:val="18"/>
                <w:highlight w:val="none"/>
              </w:rPr>
              <w:t>经营利用国家二级保护野生植物活动</w:t>
            </w:r>
            <w:r>
              <w:rPr>
                <w:rFonts w:hint="eastAsia" w:ascii="仿宋_GB2312" w:hAnsi="仿宋_GB2312" w:eastAsia="仿宋_GB2312" w:cs="仿宋_GB2312"/>
                <w:color w:val="auto"/>
                <w:kern w:val="0"/>
                <w:sz w:val="18"/>
                <w:szCs w:val="18"/>
                <w:highlight w:val="none"/>
              </w:rPr>
              <w:t>进行监督检验。</w:t>
            </w:r>
            <w:r>
              <w:rPr>
                <w:rFonts w:hint="eastAsia" w:ascii="仿宋_GB2312" w:hAnsi="仿宋_GB2312" w:eastAsia="仿宋_GB2312" w:cs="仿宋_GB2312"/>
                <w:color w:val="auto"/>
                <w:sz w:val="18"/>
                <w:szCs w:val="18"/>
                <w:highlight w:val="none"/>
              </w:rPr>
              <w:t xml:space="preserve"> </w:t>
            </w:r>
          </w:p>
          <w:p w14:paraId="27543C6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2.处理责任：在监督检查过程中，发现违法违规行为，应当责令立即纠正，依法予以处理。</w:t>
            </w:r>
          </w:p>
          <w:p w14:paraId="7DDC2BC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复查责任</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依据责令限期改正期限或当事人的复查申请，对违法行为进行复查。</w:t>
            </w:r>
          </w:p>
          <w:p w14:paraId="047D52A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.归档责任：对检查工作中形成的材料，应当及时进行整理，立卷归档。</w:t>
            </w:r>
          </w:p>
          <w:p w14:paraId="17712A4A">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.其他法律法规规章文件规定应履行的责任。</w:t>
            </w:r>
          </w:p>
        </w:tc>
        <w:tc>
          <w:tcPr>
            <w:tcW w:w="1440" w:type="dxa"/>
            <w:noWrap w:val="0"/>
            <w:vAlign w:val="center"/>
          </w:tcPr>
          <w:p w14:paraId="3452EE3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 《中华人民共和国野生植物保护条例》（2017年国务院令第687号修正）</w:t>
            </w:r>
          </w:p>
          <w:p w14:paraId="44BB55FC">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第十九条  野生植物行政主管部门应当对经营利用国家二级保护野生植物的活动进行监督检查。</w:t>
            </w:r>
          </w:p>
        </w:tc>
        <w:tc>
          <w:tcPr>
            <w:tcW w:w="1215" w:type="dxa"/>
            <w:noWrap w:val="0"/>
            <w:vAlign w:val="center"/>
          </w:tcPr>
          <w:p w14:paraId="4B543BF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613F1A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1.未按规定履行监督检查职责的；</w:t>
            </w:r>
          </w:p>
          <w:p w14:paraId="04F4B4C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2.发现存在问题未及时通知整改的；</w:t>
            </w:r>
          </w:p>
          <w:p w14:paraId="5D98A62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3.监督检查过程中存在滥用职权、玩忽职守、徇私舞弊行为的；</w:t>
            </w:r>
          </w:p>
          <w:p w14:paraId="05797FB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4.在行政监督过程中发生腐败行为的；</w:t>
            </w:r>
          </w:p>
          <w:p w14:paraId="4A6DC58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w:t>
            </w:r>
          </w:p>
          <w:p w14:paraId="5EF75020">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37C87D4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0B3EEE8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1F0BFAFA">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581370B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34C009D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39BF8114">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7CFF014B">
            <w:pPr>
              <w:adjustRightInd w:val="0"/>
              <w:snapToGrid w:val="0"/>
              <w:rPr>
                <w:rFonts w:hint="eastAsia" w:ascii="仿宋_GB2312" w:hAnsi="仿宋_GB2312" w:eastAsia="仿宋_GB2312" w:cs="仿宋_GB2312"/>
                <w:color w:val="auto"/>
                <w:sz w:val="18"/>
                <w:szCs w:val="18"/>
                <w:highlight w:val="none"/>
              </w:rPr>
            </w:pPr>
          </w:p>
          <w:p w14:paraId="5C36A413">
            <w:pPr>
              <w:adjustRightInd w:val="0"/>
              <w:snapToGrid w:val="0"/>
              <w:rPr>
                <w:rFonts w:hint="eastAsia" w:ascii="仿宋_GB2312" w:hAnsi="仿宋_GB2312" w:eastAsia="仿宋_GB2312" w:cs="仿宋_GB2312"/>
                <w:color w:val="auto"/>
                <w:sz w:val="18"/>
                <w:szCs w:val="18"/>
                <w:highlight w:val="none"/>
              </w:rPr>
            </w:pPr>
          </w:p>
          <w:p w14:paraId="3FCC1847">
            <w:pPr>
              <w:adjustRightInd w:val="0"/>
              <w:snapToGrid w:val="0"/>
              <w:rPr>
                <w:rFonts w:hint="eastAsia" w:ascii="仿宋_GB2312" w:hAnsi="仿宋_GB2312" w:eastAsia="仿宋_GB2312" w:cs="仿宋_GB2312"/>
                <w:color w:val="auto"/>
                <w:sz w:val="18"/>
                <w:szCs w:val="18"/>
                <w:highlight w:val="none"/>
              </w:rPr>
            </w:pPr>
          </w:p>
          <w:p w14:paraId="1A1832EE">
            <w:pPr>
              <w:adjustRightInd w:val="0"/>
              <w:snapToGrid w:val="0"/>
              <w:rPr>
                <w:rFonts w:hint="eastAsia" w:ascii="仿宋_GB2312" w:hAnsi="仿宋_GB2312" w:eastAsia="仿宋_GB2312" w:cs="仿宋_GB2312"/>
                <w:color w:val="auto"/>
                <w:sz w:val="18"/>
                <w:szCs w:val="18"/>
                <w:highlight w:val="none"/>
              </w:rPr>
            </w:pPr>
          </w:p>
          <w:p w14:paraId="6A789FB5">
            <w:pPr>
              <w:adjustRightInd w:val="0"/>
              <w:snapToGrid w:val="0"/>
              <w:rPr>
                <w:rFonts w:hint="eastAsia" w:ascii="仿宋_GB2312" w:hAnsi="仿宋_GB2312" w:eastAsia="仿宋_GB2312" w:cs="仿宋_GB2312"/>
                <w:color w:val="auto"/>
                <w:sz w:val="18"/>
                <w:szCs w:val="18"/>
                <w:highlight w:val="none"/>
              </w:rPr>
            </w:pPr>
          </w:p>
          <w:p w14:paraId="16FC908F">
            <w:pPr>
              <w:adjustRightInd w:val="0"/>
              <w:snapToGrid w:val="0"/>
              <w:rPr>
                <w:rFonts w:hint="eastAsia" w:ascii="仿宋_GB2312" w:hAnsi="仿宋_GB2312" w:eastAsia="仿宋_GB2312" w:cs="仿宋_GB2312"/>
                <w:color w:val="auto"/>
                <w:sz w:val="18"/>
                <w:szCs w:val="18"/>
                <w:highlight w:val="none"/>
              </w:rPr>
            </w:pPr>
          </w:p>
          <w:p w14:paraId="49721C87">
            <w:pPr>
              <w:adjustRightInd w:val="0"/>
              <w:snapToGrid w:val="0"/>
              <w:rPr>
                <w:rFonts w:hint="eastAsia" w:ascii="仿宋_GB2312" w:hAnsi="仿宋_GB2312" w:eastAsia="仿宋_GB2312" w:cs="仿宋_GB2312"/>
                <w:color w:val="auto"/>
                <w:sz w:val="18"/>
                <w:szCs w:val="18"/>
                <w:highlight w:val="none"/>
              </w:rPr>
            </w:pPr>
          </w:p>
          <w:p w14:paraId="26B3CB96">
            <w:pPr>
              <w:adjustRightInd w:val="0"/>
              <w:snapToGrid w:val="0"/>
              <w:rPr>
                <w:rFonts w:hint="eastAsia" w:ascii="仿宋_GB2312" w:hAnsi="仿宋_GB2312" w:eastAsia="仿宋_GB2312" w:cs="仿宋_GB2312"/>
                <w:color w:val="auto"/>
                <w:sz w:val="18"/>
                <w:szCs w:val="18"/>
                <w:highlight w:val="none"/>
              </w:rPr>
            </w:pPr>
          </w:p>
          <w:p w14:paraId="06FBC9DE">
            <w:pPr>
              <w:adjustRightInd w:val="0"/>
              <w:snapToGrid w:val="0"/>
              <w:rPr>
                <w:rFonts w:hint="eastAsia" w:ascii="仿宋_GB2312" w:hAnsi="仿宋_GB2312" w:eastAsia="仿宋_GB2312" w:cs="仿宋_GB2312"/>
                <w:color w:val="auto"/>
                <w:sz w:val="18"/>
                <w:szCs w:val="18"/>
                <w:highlight w:val="none"/>
              </w:rPr>
            </w:pPr>
          </w:p>
          <w:p w14:paraId="638EDC37">
            <w:pPr>
              <w:adjustRightInd w:val="0"/>
              <w:snapToGrid w:val="0"/>
              <w:rPr>
                <w:rFonts w:hint="eastAsia" w:ascii="仿宋_GB2312" w:hAnsi="仿宋_GB2312" w:eastAsia="仿宋_GB2312" w:cs="仿宋_GB2312"/>
                <w:color w:val="auto"/>
                <w:sz w:val="18"/>
                <w:szCs w:val="18"/>
                <w:highlight w:val="none"/>
              </w:rPr>
            </w:pPr>
          </w:p>
          <w:p w14:paraId="6B635AE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7FDE67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p>
          <w:p w14:paraId="6227389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p>
          <w:p w14:paraId="371243B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AF12ED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43610D3E">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3436F9C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2ED1E2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F90C04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74DE45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A343AF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BED6B71">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402E0BF">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0EE6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C39C8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7</w:t>
            </w:r>
          </w:p>
        </w:tc>
        <w:tc>
          <w:tcPr>
            <w:tcW w:w="612" w:type="dxa"/>
            <w:noWrap w:val="0"/>
            <w:vAlign w:val="center"/>
          </w:tcPr>
          <w:p w14:paraId="3214AE9A">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对进出保护区的植物种子、苗木、动植物及其产品的检疫检查</w:t>
            </w:r>
          </w:p>
        </w:tc>
        <w:tc>
          <w:tcPr>
            <w:tcW w:w="615" w:type="dxa"/>
            <w:noWrap w:val="0"/>
            <w:vAlign w:val="center"/>
          </w:tcPr>
          <w:p w14:paraId="56ABECD4">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07A8B89A">
            <w:pPr>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0622002000</w:t>
            </w:r>
          </w:p>
        </w:tc>
        <w:tc>
          <w:tcPr>
            <w:tcW w:w="1650" w:type="dxa"/>
            <w:noWrap w:val="0"/>
            <w:vAlign w:val="center"/>
          </w:tcPr>
          <w:p w14:paraId="02428D7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 《宁夏回族自治区六盘山、贺兰山、罗山国家级自然保护区条例》（2017年修正）</w:t>
            </w:r>
          </w:p>
          <w:p w14:paraId="3C663528">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第十四条 经自治区人民政府批准，自然保护区管理机构可以在进出自然保护区的交通要道设置检查检疫站，依法对运输、携带进出保护区的植物种子、苗木、动植物及其产品进行检查检疫</w:t>
            </w:r>
          </w:p>
        </w:tc>
        <w:tc>
          <w:tcPr>
            <w:tcW w:w="615" w:type="dxa"/>
            <w:noWrap w:val="0"/>
            <w:vAlign w:val="center"/>
          </w:tcPr>
          <w:p w14:paraId="44101185">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对进出保护区的植物种子、苗木、动植物及其产品的检疫检查</w:t>
            </w:r>
          </w:p>
        </w:tc>
        <w:tc>
          <w:tcPr>
            <w:tcW w:w="1410" w:type="dxa"/>
            <w:noWrap w:val="0"/>
            <w:vAlign w:val="center"/>
          </w:tcPr>
          <w:p w14:paraId="4D4EB423">
            <w:pPr>
              <w:snapToGrid w:val="0"/>
              <w:rPr>
                <w:rFonts w:hint="eastAsia" w:ascii="仿宋_GB2312" w:hAnsi="仿宋_GB2312" w:eastAsia="仿宋_GB2312" w:cs="仿宋_GB2312"/>
                <w:color w:val="auto"/>
                <w:sz w:val="18"/>
                <w:szCs w:val="18"/>
                <w:highlight w:val="none"/>
              </w:rPr>
            </w:pPr>
          </w:p>
          <w:p w14:paraId="2251D652">
            <w:pPr>
              <w:snapToGrid w:val="0"/>
              <w:rPr>
                <w:rFonts w:hint="eastAsia" w:ascii="仿宋_GB2312" w:hAnsi="仿宋_GB2312" w:eastAsia="仿宋_GB2312" w:cs="仿宋_GB2312"/>
                <w:color w:val="auto"/>
                <w:sz w:val="18"/>
                <w:szCs w:val="18"/>
                <w:highlight w:val="none"/>
              </w:rPr>
            </w:pPr>
          </w:p>
          <w:p w14:paraId="7C3B38C0">
            <w:pPr>
              <w:numPr>
                <w:ilvl w:val="0"/>
                <w:numId w:val="7"/>
              </w:numPr>
              <w:snapToGrid w:val="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color w:val="auto"/>
                <w:sz w:val="18"/>
                <w:szCs w:val="18"/>
                <w:highlight w:val="none"/>
              </w:rPr>
              <w:t>检查责任：林业自然保护区检查检疫站根据相关规定对运输、携带进出自然保护区的植物种子、苗木、动植物及其产品进行检疫检查。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2.处理责任：在检疫检查过程中，发现存在违法行为的，植物检疫机构应当封存、没收、销毁、责令改变用途或者处以罚款；造成损失的，应当负责赔偿；构成犯罪的，由司法机关依法追究刑事责任。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3.复查责任：依据责令限期改正期限或当事人的复查申请，对违法行为进行复查。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4.归档责任：在检疫检查后，对未发现检疫违法行为或已改正违法行为等内容的相关资料进行归档。</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5.公示责任：在监督检查后，对监督检查结果进行公示。</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w:t>
            </w:r>
            <w:r>
              <w:rPr>
                <w:rFonts w:hint="eastAsia" w:ascii="仿宋_GB2312" w:hAnsi="仿宋_GB2312" w:eastAsia="仿宋_GB2312" w:cs="仿宋_GB2312"/>
                <w:bCs/>
                <w:color w:val="auto"/>
                <w:sz w:val="18"/>
                <w:szCs w:val="18"/>
                <w:highlight w:val="none"/>
              </w:rPr>
              <w:t>其他法律法规规章文件规定应履行的责任。</w:t>
            </w:r>
          </w:p>
          <w:p w14:paraId="53FCADB1">
            <w:pPr>
              <w:snapToGrid w:val="0"/>
              <w:rPr>
                <w:rFonts w:hint="eastAsia" w:ascii="仿宋_GB2312" w:hAnsi="仿宋_GB2312" w:eastAsia="仿宋_GB2312" w:cs="仿宋_GB2312"/>
                <w:bCs/>
                <w:color w:val="auto"/>
                <w:sz w:val="18"/>
                <w:szCs w:val="18"/>
                <w:highlight w:val="none"/>
              </w:rPr>
            </w:pPr>
          </w:p>
          <w:p w14:paraId="4E83A5A6">
            <w:pPr>
              <w:snapToGrid w:val="0"/>
              <w:rPr>
                <w:rFonts w:hint="eastAsia" w:ascii="仿宋_GB2312" w:hAnsi="仿宋_GB2312" w:eastAsia="仿宋_GB2312" w:cs="仿宋_GB2312"/>
                <w:bCs/>
                <w:color w:val="auto"/>
                <w:sz w:val="18"/>
                <w:szCs w:val="18"/>
                <w:highlight w:val="none"/>
              </w:rPr>
            </w:pPr>
          </w:p>
          <w:p w14:paraId="0BD07E3F">
            <w:pPr>
              <w:snapToGrid w:val="0"/>
              <w:rPr>
                <w:rFonts w:hint="eastAsia" w:ascii="仿宋_GB2312" w:hAnsi="仿宋_GB2312" w:eastAsia="仿宋_GB2312" w:cs="仿宋_GB2312"/>
                <w:bCs/>
                <w:color w:val="auto"/>
                <w:sz w:val="18"/>
                <w:szCs w:val="18"/>
                <w:highlight w:val="none"/>
              </w:rPr>
            </w:pPr>
          </w:p>
          <w:p w14:paraId="1D283FD8">
            <w:pPr>
              <w:snapToGrid w:val="0"/>
              <w:rPr>
                <w:rFonts w:hint="eastAsia" w:ascii="仿宋_GB2312" w:hAnsi="仿宋_GB2312" w:eastAsia="仿宋_GB2312" w:cs="仿宋_GB2312"/>
                <w:bCs/>
                <w:color w:val="auto"/>
                <w:sz w:val="18"/>
                <w:szCs w:val="18"/>
                <w:highlight w:val="none"/>
              </w:rPr>
            </w:pPr>
          </w:p>
          <w:p w14:paraId="34CB8790">
            <w:pPr>
              <w:snapToGrid w:val="0"/>
              <w:rPr>
                <w:rFonts w:hint="eastAsia" w:ascii="仿宋_GB2312" w:hAnsi="仿宋_GB2312" w:eastAsia="仿宋_GB2312" w:cs="仿宋_GB2312"/>
                <w:bCs/>
                <w:color w:val="auto"/>
                <w:kern w:val="2"/>
                <w:sz w:val="18"/>
                <w:szCs w:val="18"/>
                <w:highlight w:val="none"/>
                <w:lang w:val="en-US" w:eastAsia="zh-CN" w:bidi="ar-SA"/>
              </w:rPr>
            </w:pPr>
          </w:p>
        </w:tc>
        <w:tc>
          <w:tcPr>
            <w:tcW w:w="1440" w:type="dxa"/>
            <w:noWrap w:val="0"/>
            <w:vAlign w:val="center"/>
          </w:tcPr>
          <w:p w14:paraId="7D6C6C5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 《宁夏回族自治区六盘山、贺兰山、罗山国家级自然保护区条例》（2017年修正）</w:t>
            </w:r>
          </w:p>
          <w:p w14:paraId="0D6DEEE5">
            <w:pPr>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第十四条 经自治区人民政府批准，自然保护区管理机构可以在进出自然保护区的交通要道设置检查检疫站，依法对运输、携带进出保护区的植物种子、苗木、动植物及其产品进行检查检疫</w:t>
            </w:r>
          </w:p>
        </w:tc>
        <w:tc>
          <w:tcPr>
            <w:tcW w:w="1215" w:type="dxa"/>
            <w:noWrap w:val="0"/>
            <w:vAlign w:val="center"/>
          </w:tcPr>
          <w:p w14:paraId="601C1121">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1.未按规定履行检疫检查职责的；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2.发现存在问题未及时通知整改的；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3.检疫检查过程中存在滥用职权、玩忽职守、徇私舞弊行为的；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4.在检疫检查过程中发生腐败行为的；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5.未按检疫处理规定，滥用职权的；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7222847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0F87B5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036674DA">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4648244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52BF72B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5EAB70DA">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40879ED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1.给予检查人责令作出书面检查、批评教育、取消年度评比先进资格、离岗培训、调离工作岗位、以及行政处分等责任追究；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2.给予复查人和批准人诫勉谈话、责令限期整改、责令作出书面检查、责令公开道歉、取消年度评比先进资格、通报批评、责令停职反省或者责令辞职、建议免职以及行政处分等责任追究；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3.给予林业主管部门责令限期整改、通报批评、取消评比先进资格等责任追究；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1C00AC2F">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6FA69D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F0C1D72">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5DCC5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60A2B1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06AA5EE">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CB269E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r w14:paraId="08C9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3AE5CC3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8</w:t>
            </w:r>
          </w:p>
        </w:tc>
        <w:tc>
          <w:tcPr>
            <w:tcW w:w="612" w:type="dxa"/>
            <w:noWrap w:val="0"/>
            <w:vAlign w:val="center"/>
          </w:tcPr>
          <w:p w14:paraId="3F155530">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对所辖自然保护区的管理进行监督检查</w:t>
            </w:r>
          </w:p>
        </w:tc>
        <w:tc>
          <w:tcPr>
            <w:tcW w:w="615" w:type="dxa"/>
            <w:noWrap w:val="0"/>
            <w:vAlign w:val="center"/>
          </w:tcPr>
          <w:p w14:paraId="616B328D">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741D12B8">
            <w:pPr>
              <w:jc w:val="center"/>
              <w:rPr>
                <w:rFonts w:hint="eastAsia" w:ascii="仿宋_GB2312" w:hAnsi="仿宋_GB2312" w:eastAsia="仿宋_GB2312" w:cs="仿宋_GB2312"/>
                <w:color w:val="auto"/>
                <w:sz w:val="18"/>
                <w:szCs w:val="18"/>
                <w:highlight w:val="none"/>
              </w:rPr>
            </w:pPr>
          </w:p>
        </w:tc>
        <w:tc>
          <w:tcPr>
            <w:tcW w:w="1650" w:type="dxa"/>
            <w:noWrap w:val="0"/>
            <w:vAlign w:val="center"/>
          </w:tcPr>
          <w:p w14:paraId="5224D1F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 《宁夏回族自治区六盘山、贺兰山、罗山国家级自然保护区条例》（2017年修正）</w:t>
            </w:r>
          </w:p>
          <w:p w14:paraId="502FADF0">
            <w:pPr>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第十四条 经自治区人民政府批准，自然保护区管理机构可以在进出自然保护区的交通要道设置检查检疫站，依法对运输、携带进出保护区的植物种子、苗木、动植物及其产品进行检查检疫</w:t>
            </w:r>
          </w:p>
        </w:tc>
        <w:tc>
          <w:tcPr>
            <w:tcW w:w="615" w:type="dxa"/>
            <w:noWrap w:val="0"/>
            <w:vAlign w:val="center"/>
          </w:tcPr>
          <w:p w14:paraId="089B3FE4">
            <w:pPr>
              <w:jc w:val="both"/>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对所辖自然保护区的管理进行监督检查</w:t>
            </w:r>
          </w:p>
        </w:tc>
        <w:tc>
          <w:tcPr>
            <w:tcW w:w="1410" w:type="dxa"/>
            <w:noWrap w:val="0"/>
            <w:vAlign w:val="center"/>
          </w:tcPr>
          <w:p w14:paraId="52428F4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检查责任：依法</w:t>
            </w:r>
            <w:r>
              <w:rPr>
                <w:rFonts w:hint="eastAsia" w:ascii="仿宋_GB2312" w:hAnsi="仿宋_GB2312" w:eastAsia="仿宋_GB2312" w:cs="仿宋_GB2312"/>
                <w:color w:val="auto"/>
                <w:kern w:val="0"/>
                <w:sz w:val="18"/>
                <w:szCs w:val="18"/>
                <w:highlight w:val="none"/>
              </w:rPr>
              <w:t>对所辖自然保护区的管理进行监督检验。</w:t>
            </w:r>
            <w:r>
              <w:rPr>
                <w:rFonts w:hint="eastAsia" w:ascii="仿宋_GB2312" w:hAnsi="仿宋_GB2312" w:eastAsia="仿宋_GB2312" w:cs="仿宋_GB2312"/>
                <w:color w:val="auto"/>
                <w:sz w:val="18"/>
                <w:szCs w:val="18"/>
                <w:highlight w:val="none"/>
              </w:rPr>
              <w:t xml:space="preserve"> </w:t>
            </w:r>
          </w:p>
          <w:p w14:paraId="37736DA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2.处理责任：在监督检查过程中，发现违法违规行为，应当责令立即纠正，依法予以处理。</w:t>
            </w:r>
          </w:p>
          <w:p w14:paraId="6B3EDDD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复查责任</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依据责令限期改正期限或当事人的复查申请，对违法行为进行复查。</w:t>
            </w:r>
          </w:p>
          <w:p w14:paraId="789D652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.归档责任：对检查工作中形成的材料，应当及时进行整理，立卷归档。</w:t>
            </w:r>
          </w:p>
          <w:p w14:paraId="510CF24B">
            <w:pPr>
              <w:snapToGrid w:val="0"/>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.其他法律法规规章文件规定应履行的责任。</w:t>
            </w:r>
          </w:p>
        </w:tc>
        <w:tc>
          <w:tcPr>
            <w:tcW w:w="1440" w:type="dxa"/>
            <w:noWrap w:val="0"/>
            <w:vAlign w:val="center"/>
          </w:tcPr>
          <w:p w14:paraId="2BE919F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 《宁夏回族自治区六盘山、贺兰山、罗山国家级自然保护区条例》（2017年修正）</w:t>
            </w:r>
          </w:p>
          <w:p w14:paraId="0EA8F29B">
            <w:pPr>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第十四条 经自治区人民政府批准，自然保护区管理机构可以在进出自然保护区的交通要道设置检查检疫站，依法对运输、携带进出保护区的植物种子、苗木、动植物及其产品进行检查检疫</w:t>
            </w:r>
          </w:p>
        </w:tc>
        <w:tc>
          <w:tcPr>
            <w:tcW w:w="1215" w:type="dxa"/>
            <w:noWrap w:val="0"/>
            <w:vAlign w:val="center"/>
          </w:tcPr>
          <w:p w14:paraId="2BEE5C4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D2E768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1.未按规定履行监督检查职责的；</w:t>
            </w:r>
          </w:p>
          <w:p w14:paraId="770BFC5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2.发现存在问题未及时通知整改的；</w:t>
            </w:r>
          </w:p>
          <w:p w14:paraId="4B37A68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3.监督检查过程中存在滥用职权、玩忽职守、徇私舞弊行为的；</w:t>
            </w:r>
          </w:p>
          <w:p w14:paraId="7256A42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4.在行政监督过程中发生腐败行为的；</w:t>
            </w:r>
          </w:p>
          <w:p w14:paraId="16DD39C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5.未按裁量权规定，滥用裁量权的；</w:t>
            </w:r>
          </w:p>
          <w:p w14:paraId="3FE6B5C4">
            <w:pPr>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6CA360F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297B46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0FFE551D">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640049B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4FE15B3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6D1F22C7">
            <w:pPr>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6733124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1.给予检查人责令作出书面检查、批评教育、取消年度评比先进资格、离岗培训、调离工作岗位、以及行政处分等责任追究；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2.给予复查人和批准人诫勉谈话、责令限期整改、责令作出书面检查、责令公开道歉、取消年度评比先进资格、通报批评、责令停职反省或者责令辞职、建议免职以及行政处分等责任追究；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3.给予林业主管部门责令限期整改、通报批评、取消评比先进资格等责任追究；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7963375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79B127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D50B158">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636ACF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41A573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B456BCD">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3F236D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r w14:paraId="5151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3D0786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9</w:t>
            </w:r>
          </w:p>
        </w:tc>
        <w:tc>
          <w:tcPr>
            <w:tcW w:w="612" w:type="dxa"/>
            <w:noWrap w:val="0"/>
            <w:vAlign w:val="center"/>
          </w:tcPr>
          <w:p w14:paraId="4798ABED">
            <w:pPr>
              <w:jc w:val="both"/>
              <w:rPr>
                <w:rFonts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对饮用水水源保护区内的林业、花卉苗木等农药化肥施用情况监督管理</w:t>
            </w:r>
          </w:p>
        </w:tc>
        <w:tc>
          <w:tcPr>
            <w:tcW w:w="615" w:type="dxa"/>
            <w:noWrap w:val="0"/>
            <w:vAlign w:val="center"/>
          </w:tcPr>
          <w:p w14:paraId="57CCF15A">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44F80508">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06B0010000</w:t>
            </w:r>
          </w:p>
        </w:tc>
        <w:tc>
          <w:tcPr>
            <w:tcW w:w="1650" w:type="dxa"/>
            <w:noWrap w:val="0"/>
            <w:vAlign w:val="center"/>
          </w:tcPr>
          <w:p w14:paraId="6CBF4767">
            <w:pPr>
              <w:adjustRightInd w:val="0"/>
              <w:snapToGrid w:val="0"/>
              <w:spacing w:line="24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【地方性法规】《石嘴山市饮用水水源保护条例》（2016年）</w:t>
            </w:r>
          </w:p>
          <w:p w14:paraId="4AD344F0">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第二十五条 市、县（区）人民政府林业行政主管部门应当组织对饮用水水源保护区内的林业、花卉苗林等农药化肥施用情况进行监督管理；负责饮用水水源保护区域水源涵养林、自然植被、湿地的保护和管理。</w:t>
            </w:r>
          </w:p>
        </w:tc>
        <w:tc>
          <w:tcPr>
            <w:tcW w:w="615" w:type="dxa"/>
            <w:noWrap w:val="0"/>
            <w:vAlign w:val="center"/>
          </w:tcPr>
          <w:p w14:paraId="754CC174">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对饮用水水源保护区内的林业、花卉苗木等农药化肥施用情况监督管理</w:t>
            </w:r>
          </w:p>
        </w:tc>
        <w:tc>
          <w:tcPr>
            <w:tcW w:w="1410" w:type="dxa"/>
            <w:noWrap w:val="0"/>
            <w:vAlign w:val="center"/>
          </w:tcPr>
          <w:p w14:paraId="04C30CB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1.检查责任：依法对饮用水水源保护区内的林业、花卉苗木等农药化肥施用情况</w:t>
            </w:r>
            <w:r>
              <w:rPr>
                <w:rFonts w:hint="eastAsia" w:ascii="仿宋_GB2312" w:hAnsi="仿宋_GB2312" w:eastAsia="仿宋_GB2312" w:cs="仿宋_GB2312"/>
                <w:color w:val="auto"/>
                <w:kern w:val="0"/>
                <w:sz w:val="18"/>
                <w:szCs w:val="18"/>
                <w:highlight w:val="none"/>
              </w:rPr>
              <w:t>进行监督检验。</w:t>
            </w:r>
            <w:r>
              <w:rPr>
                <w:rFonts w:hint="eastAsia" w:ascii="仿宋_GB2312" w:hAnsi="仿宋_GB2312" w:eastAsia="仿宋_GB2312" w:cs="仿宋_GB2312"/>
                <w:color w:val="auto"/>
                <w:sz w:val="18"/>
                <w:szCs w:val="18"/>
                <w:highlight w:val="none"/>
              </w:rPr>
              <w:t xml:space="preserve"> </w:t>
            </w:r>
          </w:p>
          <w:p w14:paraId="48DC0BB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2.处理责任：在监督检查过程中，发现违法违规行为，应当责令立即纠正，依法</w:t>
            </w:r>
          </w:p>
          <w:p w14:paraId="766EDC8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．复查责任：依据责令限期改正期限或当事人的复查申请，对违法行为进行复查。</w:t>
            </w:r>
          </w:p>
          <w:p w14:paraId="647AD79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.归档责任：对检查工作中形成的材料，应当及时进行整理，立卷归档。</w:t>
            </w:r>
          </w:p>
          <w:p w14:paraId="1CFB9E62">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.其他法律法规规章文件规定应履行的责任。</w:t>
            </w:r>
          </w:p>
        </w:tc>
        <w:tc>
          <w:tcPr>
            <w:tcW w:w="1440" w:type="dxa"/>
            <w:noWrap w:val="0"/>
            <w:vAlign w:val="center"/>
          </w:tcPr>
          <w:p w14:paraId="41C1021C">
            <w:pPr>
              <w:adjustRightInd w:val="0"/>
              <w:snapToGrid w:val="0"/>
              <w:spacing w:line="24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【地方性法规】《石嘴山市饮用水水源保护条例》（2016年）</w:t>
            </w:r>
          </w:p>
          <w:p w14:paraId="79373100">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第二十五条 市、县（区）人民政府林业行政主管部门应当组织对饮用水水源保护区内的林业、花卉苗林等农药化肥施用情况进行监督管理；负责饮用水水源保护区域水源涵养林、自然植被、湿地的保护和管理。</w:t>
            </w:r>
          </w:p>
        </w:tc>
        <w:tc>
          <w:tcPr>
            <w:tcW w:w="1215" w:type="dxa"/>
            <w:noWrap w:val="0"/>
            <w:vAlign w:val="center"/>
          </w:tcPr>
          <w:p w14:paraId="11CB62C3">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1.未按规定履行监督检查职责的；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2.发现存在问题未及时通知整改的；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3.监督检查过程中存在滥用职权、玩忽职守、徇私舞弊行为的；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4.在行政监督过程中发生腐败行为的；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5.未按裁量权规定，滥用裁量权的；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0BC6B92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767EFB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18697E50">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4C3E1B7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761F439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01B3D1DA">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0AF80662">
            <w:pPr>
              <w:adjustRightInd w:val="0"/>
              <w:snapToGrid w:val="0"/>
              <w:rPr>
                <w:rFonts w:hint="eastAsia" w:ascii="仿宋_GB2312" w:hAnsi="仿宋_GB2312" w:eastAsia="仿宋_GB2312" w:cs="仿宋_GB2312"/>
                <w:color w:val="auto"/>
                <w:sz w:val="18"/>
                <w:szCs w:val="18"/>
                <w:highlight w:val="none"/>
              </w:rPr>
            </w:pPr>
          </w:p>
          <w:p w14:paraId="3B469407">
            <w:pPr>
              <w:adjustRightInd w:val="0"/>
              <w:snapToGrid w:val="0"/>
              <w:rPr>
                <w:rFonts w:hint="eastAsia" w:ascii="仿宋_GB2312" w:hAnsi="仿宋_GB2312" w:eastAsia="仿宋_GB2312" w:cs="仿宋_GB2312"/>
                <w:color w:val="auto"/>
                <w:sz w:val="18"/>
                <w:szCs w:val="18"/>
                <w:highlight w:val="none"/>
              </w:rPr>
            </w:pPr>
          </w:p>
          <w:p w14:paraId="167EA272">
            <w:pPr>
              <w:adjustRightInd w:val="0"/>
              <w:snapToGrid w:val="0"/>
              <w:rPr>
                <w:rFonts w:hint="eastAsia" w:ascii="仿宋_GB2312" w:hAnsi="仿宋_GB2312" w:eastAsia="仿宋_GB2312" w:cs="仿宋_GB2312"/>
                <w:color w:val="auto"/>
                <w:sz w:val="18"/>
                <w:szCs w:val="18"/>
                <w:highlight w:val="none"/>
              </w:rPr>
            </w:pPr>
          </w:p>
          <w:p w14:paraId="4DAA823A">
            <w:pPr>
              <w:adjustRightInd w:val="0"/>
              <w:snapToGrid w:val="0"/>
              <w:rPr>
                <w:rFonts w:hint="eastAsia" w:ascii="仿宋_GB2312" w:hAnsi="仿宋_GB2312" w:eastAsia="仿宋_GB2312" w:cs="仿宋_GB2312"/>
                <w:color w:val="auto"/>
                <w:sz w:val="18"/>
                <w:szCs w:val="18"/>
                <w:highlight w:val="none"/>
              </w:rPr>
            </w:pPr>
          </w:p>
          <w:p w14:paraId="40FF8353">
            <w:pPr>
              <w:adjustRightInd w:val="0"/>
              <w:snapToGrid w:val="0"/>
              <w:rPr>
                <w:rFonts w:hint="eastAsia" w:ascii="仿宋_GB2312" w:hAnsi="仿宋_GB2312" w:eastAsia="仿宋_GB2312" w:cs="仿宋_GB2312"/>
                <w:color w:val="auto"/>
                <w:sz w:val="18"/>
                <w:szCs w:val="18"/>
                <w:highlight w:val="none"/>
              </w:rPr>
            </w:pPr>
          </w:p>
          <w:p w14:paraId="49723E71">
            <w:pPr>
              <w:adjustRightInd w:val="0"/>
              <w:snapToGrid w:val="0"/>
              <w:rPr>
                <w:rFonts w:hint="eastAsia" w:ascii="仿宋_GB2312" w:hAnsi="仿宋_GB2312" w:eastAsia="仿宋_GB2312" w:cs="仿宋_GB2312"/>
                <w:color w:val="auto"/>
                <w:sz w:val="18"/>
                <w:szCs w:val="18"/>
                <w:highlight w:val="none"/>
              </w:rPr>
            </w:pPr>
          </w:p>
          <w:p w14:paraId="1ADE18B0">
            <w:pPr>
              <w:adjustRightInd w:val="0"/>
              <w:snapToGrid w:val="0"/>
              <w:rPr>
                <w:rFonts w:hint="eastAsia" w:ascii="仿宋_GB2312" w:hAnsi="仿宋_GB2312" w:eastAsia="仿宋_GB2312" w:cs="仿宋_GB2312"/>
                <w:color w:val="auto"/>
                <w:sz w:val="18"/>
                <w:szCs w:val="18"/>
                <w:highlight w:val="none"/>
              </w:rPr>
            </w:pPr>
          </w:p>
          <w:p w14:paraId="7236548D">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3.给予行政机关责令限期整改、通报批评、取消评比先进资格等责任追究；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36BD1F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5B0BBF8">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6FC858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0DF191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877FE2D">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0E6A58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AEC0CAA">
            <w:pPr>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400B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569B47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10</w:t>
            </w:r>
          </w:p>
        </w:tc>
        <w:tc>
          <w:tcPr>
            <w:tcW w:w="612" w:type="dxa"/>
            <w:noWrap w:val="0"/>
            <w:vAlign w:val="center"/>
          </w:tcPr>
          <w:p w14:paraId="61C3F2D2">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饮用水水源保护区域水源涵养林、自然植被、湿地的保护和管理</w:t>
            </w:r>
          </w:p>
          <w:p w14:paraId="71ED3607">
            <w:pPr>
              <w:widowControl/>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615" w:type="dxa"/>
            <w:noWrap w:val="0"/>
            <w:vAlign w:val="center"/>
          </w:tcPr>
          <w:p w14:paraId="45004E0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3595894E">
            <w:pPr>
              <w:adjustRightInd w:val="0"/>
              <w:snapToGrid w:val="0"/>
              <w:spacing w:line="240" w:lineRule="exact"/>
              <w:ind w:firstLine="360" w:firstLineChars="200"/>
              <w:rPr>
                <w:rFonts w:hint="eastAsia" w:ascii="仿宋_GB2312" w:hAnsi="仿宋_GB2312" w:eastAsia="仿宋_GB2312" w:cs="仿宋_GB2312"/>
                <w:color w:val="auto"/>
                <w:sz w:val="18"/>
                <w:szCs w:val="18"/>
                <w:highlight w:val="none"/>
              </w:rPr>
            </w:pPr>
          </w:p>
          <w:p w14:paraId="0FFC6EDF">
            <w:pPr>
              <w:adjustRightInd w:val="0"/>
              <w:snapToGrid w:val="0"/>
              <w:spacing w:line="240" w:lineRule="exact"/>
              <w:ind w:firstLine="360" w:firstLineChars="200"/>
              <w:rPr>
                <w:rFonts w:hint="eastAsia" w:ascii="仿宋_GB2312" w:hAnsi="仿宋_GB2312" w:eastAsia="仿宋_GB2312" w:cs="仿宋_GB2312"/>
                <w:color w:val="auto"/>
                <w:sz w:val="18"/>
                <w:szCs w:val="18"/>
                <w:highlight w:val="none"/>
              </w:rPr>
            </w:pPr>
          </w:p>
          <w:p w14:paraId="607B1D04">
            <w:pPr>
              <w:adjustRightInd w:val="0"/>
              <w:snapToGrid w:val="0"/>
              <w:spacing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06B0011000</w:t>
            </w:r>
          </w:p>
        </w:tc>
        <w:tc>
          <w:tcPr>
            <w:tcW w:w="1650" w:type="dxa"/>
            <w:noWrap w:val="0"/>
            <w:vAlign w:val="center"/>
          </w:tcPr>
          <w:p w14:paraId="291FD24E">
            <w:pPr>
              <w:adjustRightInd w:val="0"/>
              <w:snapToGrid w:val="0"/>
              <w:spacing w:line="24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【地方性法规】《石嘴山市饮用水水源保护条例》（2016年）</w:t>
            </w:r>
          </w:p>
          <w:p w14:paraId="7825C89A">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bCs/>
                <w:color w:val="auto"/>
                <w:sz w:val="18"/>
                <w:szCs w:val="18"/>
                <w:highlight w:val="none"/>
              </w:rPr>
              <w:t>第二十五条 市、县（区）人民政府林业行政主管部门应当组织对饮用水水源保护区内的林业、花卉苗林等农药化肥施用情况进行监督管理；负责饮用水水源保护区域水源涵养林、自然植被、湿地的保护和管理</w:t>
            </w:r>
          </w:p>
        </w:tc>
        <w:tc>
          <w:tcPr>
            <w:tcW w:w="615" w:type="dxa"/>
            <w:noWrap w:val="0"/>
            <w:vAlign w:val="center"/>
          </w:tcPr>
          <w:p w14:paraId="12E6F6EA">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饮用水水源保护区域水源涵养林、自然植被、湿地的保护和管理</w:t>
            </w:r>
          </w:p>
          <w:p w14:paraId="602D36A8">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1410" w:type="dxa"/>
            <w:noWrap w:val="0"/>
            <w:vAlign w:val="center"/>
          </w:tcPr>
          <w:p w14:paraId="3D64F37A">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1.检查责任：依法对饮用水水源保护区域水源涵养林、自然植被、湿地的保护和管理</w:t>
            </w:r>
            <w:r>
              <w:rPr>
                <w:rFonts w:hint="eastAsia" w:ascii="仿宋_GB2312" w:hAnsi="仿宋_GB2312" w:eastAsia="仿宋_GB2312" w:cs="仿宋_GB2312"/>
                <w:color w:val="auto"/>
                <w:kern w:val="0"/>
                <w:sz w:val="18"/>
                <w:szCs w:val="18"/>
                <w:highlight w:val="none"/>
              </w:rPr>
              <w:t>进行监督检验。</w:t>
            </w:r>
            <w:r>
              <w:rPr>
                <w:rFonts w:hint="eastAsia" w:ascii="仿宋_GB2312" w:hAnsi="仿宋_GB2312" w:eastAsia="仿宋_GB2312" w:cs="仿宋_GB2312"/>
                <w:color w:val="auto"/>
                <w:sz w:val="18"/>
                <w:szCs w:val="18"/>
                <w:highlight w:val="none"/>
              </w:rPr>
              <w:t xml:space="preserve"> </w:t>
            </w:r>
          </w:p>
          <w:p w14:paraId="02D79BF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2.处理责任：在监督检查过程中，发现违法违规行为，应当责令立即纠正，依法予以处理。</w:t>
            </w:r>
          </w:p>
          <w:p w14:paraId="0D24A21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3，复查责任：依据责令限期改正期限或当事人的复查申请，对违法行为进行复查。</w:t>
            </w:r>
          </w:p>
          <w:p w14:paraId="1CA40CA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.归档责任：对检查工作中形成的材料，应当及时进行整理，立卷归档。</w:t>
            </w:r>
          </w:p>
          <w:p w14:paraId="1DC12A74">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.其他法律法规规章文件规定应履行的责任</w:t>
            </w:r>
          </w:p>
        </w:tc>
        <w:tc>
          <w:tcPr>
            <w:tcW w:w="1440" w:type="dxa"/>
            <w:noWrap w:val="0"/>
            <w:vAlign w:val="center"/>
          </w:tcPr>
          <w:p w14:paraId="02038CB4">
            <w:pPr>
              <w:adjustRightInd w:val="0"/>
              <w:snapToGrid w:val="0"/>
              <w:spacing w:line="240" w:lineRule="exact"/>
              <w:ind w:firstLine="360" w:firstLineChars="200"/>
              <w:rPr>
                <w:rFonts w:hint="eastAsia" w:ascii="仿宋_GB2312" w:hAnsi="仿宋_GB2312" w:eastAsia="仿宋_GB2312" w:cs="仿宋_GB2312"/>
                <w:bCs/>
                <w:color w:val="auto"/>
                <w:sz w:val="18"/>
                <w:szCs w:val="18"/>
                <w:highlight w:val="none"/>
              </w:rPr>
            </w:pPr>
            <w:r>
              <w:rPr>
                <w:rFonts w:hint="eastAsia" w:ascii="仿宋_GB2312" w:hAnsi="仿宋_GB2312" w:eastAsia="仿宋_GB2312" w:cs="仿宋_GB2312"/>
                <w:bCs/>
                <w:color w:val="auto"/>
                <w:sz w:val="18"/>
                <w:szCs w:val="18"/>
                <w:highlight w:val="none"/>
              </w:rPr>
              <w:t>【地方性法规】《石嘴山市饮用水水源保护条例》（2016年）</w:t>
            </w:r>
          </w:p>
          <w:p w14:paraId="59DDBBFF">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bCs/>
                <w:color w:val="auto"/>
                <w:sz w:val="18"/>
                <w:szCs w:val="18"/>
                <w:highlight w:val="none"/>
              </w:rPr>
              <w:t>第二十五条 市、县（区）人民政府林业行政主管部门应当组织对饮用水水源保护区内的林业、花卉苗林等农药化肥施用情况进行监督管理；负责饮用水水源保护区域水源涵养林、自然植被、湿地的保护和管理。</w:t>
            </w:r>
          </w:p>
        </w:tc>
        <w:tc>
          <w:tcPr>
            <w:tcW w:w="1215" w:type="dxa"/>
            <w:noWrap w:val="0"/>
            <w:vAlign w:val="center"/>
          </w:tcPr>
          <w:p w14:paraId="67C0A697">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1.未按规定履行监督检查职责的；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2.发现存在问题未及时通知整改的；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3.监督检查过程中存在滥用职权、玩忽职守、徇私舞弊行为的；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4.在行政监督过程中发生腐败行为的；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5.未按裁量权规定，滥用裁量权的；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0F0E579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6D02B2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6CA131BD">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788F687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71136A3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1ADF818C">
            <w:pPr>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789565B8">
            <w:pPr>
              <w:adjustRightInd w:val="0"/>
              <w:snapToGrid w:val="0"/>
              <w:rPr>
                <w:rFonts w:hint="eastAsia" w:ascii="仿宋_GB2312" w:hAnsi="仿宋_GB2312" w:eastAsia="仿宋_GB2312" w:cs="仿宋_GB2312"/>
                <w:color w:val="auto"/>
                <w:sz w:val="18"/>
                <w:szCs w:val="18"/>
                <w:highlight w:val="none"/>
              </w:rPr>
            </w:pPr>
          </w:p>
          <w:p w14:paraId="2B043C0B">
            <w:pPr>
              <w:adjustRightInd w:val="0"/>
              <w:snapToGrid w:val="0"/>
              <w:rPr>
                <w:rFonts w:hint="eastAsia" w:ascii="仿宋_GB2312" w:hAnsi="仿宋_GB2312" w:eastAsia="仿宋_GB2312" w:cs="仿宋_GB2312"/>
                <w:color w:val="auto"/>
                <w:sz w:val="18"/>
                <w:szCs w:val="18"/>
                <w:highlight w:val="none"/>
              </w:rPr>
            </w:pPr>
          </w:p>
          <w:p w14:paraId="65CB6E4A">
            <w:pPr>
              <w:adjustRightInd w:val="0"/>
              <w:snapToGrid w:val="0"/>
              <w:rPr>
                <w:rFonts w:hint="eastAsia" w:ascii="仿宋_GB2312" w:hAnsi="仿宋_GB2312" w:eastAsia="仿宋_GB2312" w:cs="仿宋_GB2312"/>
                <w:color w:val="auto"/>
                <w:sz w:val="18"/>
                <w:szCs w:val="18"/>
                <w:highlight w:val="none"/>
              </w:rPr>
            </w:pPr>
          </w:p>
          <w:p w14:paraId="03B3DD9A">
            <w:pPr>
              <w:adjustRightInd w:val="0"/>
              <w:snapToGrid w:val="0"/>
              <w:rPr>
                <w:rFonts w:hint="eastAsia" w:ascii="仿宋_GB2312" w:hAnsi="仿宋_GB2312" w:eastAsia="仿宋_GB2312" w:cs="仿宋_GB2312"/>
                <w:color w:val="auto"/>
                <w:sz w:val="18"/>
                <w:szCs w:val="18"/>
                <w:highlight w:val="none"/>
              </w:rPr>
            </w:pPr>
          </w:p>
          <w:p w14:paraId="027E0EE2">
            <w:pPr>
              <w:adjustRightInd w:val="0"/>
              <w:snapToGrid w:val="0"/>
              <w:rPr>
                <w:rFonts w:hint="eastAsia" w:ascii="仿宋_GB2312" w:hAnsi="仿宋_GB2312" w:eastAsia="仿宋_GB2312" w:cs="仿宋_GB2312"/>
                <w:color w:val="auto"/>
                <w:sz w:val="18"/>
                <w:szCs w:val="18"/>
                <w:highlight w:val="none"/>
              </w:rPr>
            </w:pPr>
          </w:p>
          <w:p w14:paraId="0C7F5E88">
            <w:pPr>
              <w:adjustRightInd w:val="0"/>
              <w:snapToGrid w:val="0"/>
              <w:rPr>
                <w:rFonts w:hint="eastAsia" w:ascii="仿宋_GB2312" w:hAnsi="仿宋_GB2312" w:eastAsia="仿宋_GB2312" w:cs="仿宋_GB2312"/>
                <w:color w:val="auto"/>
                <w:sz w:val="18"/>
                <w:szCs w:val="18"/>
                <w:highlight w:val="none"/>
              </w:rPr>
            </w:pPr>
          </w:p>
          <w:p w14:paraId="533EC865">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3.给予行政机关责令限期整改、通报批评、取消评比先进资格等责任追究；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18AFA3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37D119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2EA571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6677DB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18E4A4D">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7CBE1E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305644C0">
            <w:pPr>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1C39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10CE79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 xml:space="preserve"> 11</w:t>
            </w:r>
          </w:p>
        </w:tc>
        <w:tc>
          <w:tcPr>
            <w:tcW w:w="612" w:type="dxa"/>
            <w:noWrap w:val="0"/>
            <w:vAlign w:val="center"/>
          </w:tcPr>
          <w:p w14:paraId="43C7DFCC">
            <w:pPr>
              <w:keepNext w:val="0"/>
              <w:keepLines w:val="0"/>
              <w:pageBreakBefore w:val="0"/>
              <w:widowControl/>
              <w:kinsoku/>
              <w:wordWrap/>
              <w:overflowPunct/>
              <w:topLinePunct w:val="0"/>
              <w:autoSpaceDE/>
              <w:bidi w:val="0"/>
              <w:adjustRightInd w:val="0"/>
              <w:snapToGrid w:val="0"/>
              <w:spacing w:line="240" w:lineRule="auto"/>
              <w:textAlignment w:val="auto"/>
              <w:outlineLvl w:val="9"/>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采伐作业、更新面积质量检查验收</w:t>
            </w:r>
          </w:p>
        </w:tc>
        <w:tc>
          <w:tcPr>
            <w:tcW w:w="615" w:type="dxa"/>
            <w:noWrap w:val="0"/>
            <w:vAlign w:val="center"/>
          </w:tcPr>
          <w:p w14:paraId="6456F30C">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3C13D6C7">
            <w:pPr>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lang w:val="en-US" w:eastAsia="zh-CN"/>
              </w:rPr>
              <w:t>0</w:t>
            </w:r>
            <w:r>
              <w:rPr>
                <w:rFonts w:hint="eastAsia" w:ascii="仿宋_GB2312" w:hAnsi="仿宋_GB2312" w:cs="仿宋_GB2312"/>
                <w:color w:val="auto"/>
                <w:kern w:val="0"/>
                <w:sz w:val="18"/>
                <w:szCs w:val="18"/>
                <w:highlight w:val="none"/>
                <w:lang w:val="en-US" w:eastAsia="zh-CN"/>
              </w:rPr>
              <w:t>6</w:t>
            </w:r>
            <w:r>
              <w:rPr>
                <w:rFonts w:hint="eastAsia" w:ascii="仿宋_GB2312" w:hAnsi="仿宋_GB2312" w:eastAsia="仿宋_GB2312" w:cs="仿宋_GB2312"/>
                <w:color w:val="auto"/>
                <w:kern w:val="0"/>
                <w:sz w:val="18"/>
                <w:szCs w:val="18"/>
                <w:highlight w:val="none"/>
                <w:lang w:val="en-US" w:eastAsia="zh-CN"/>
              </w:rPr>
              <w:t>B1</w:t>
            </w:r>
            <w:r>
              <w:rPr>
                <w:rFonts w:hint="eastAsia" w:ascii="仿宋_GB2312" w:hAnsi="仿宋_GB2312" w:cs="仿宋_GB2312"/>
                <w:color w:val="auto"/>
                <w:kern w:val="0"/>
                <w:sz w:val="18"/>
                <w:szCs w:val="18"/>
                <w:highlight w:val="none"/>
                <w:lang w:val="en-US" w:eastAsia="zh-CN"/>
              </w:rPr>
              <w:t>511</w:t>
            </w:r>
            <w:r>
              <w:rPr>
                <w:rFonts w:hint="eastAsia" w:ascii="仿宋_GB2312" w:hAnsi="仿宋_GB2312" w:eastAsia="仿宋_GB2312" w:cs="仿宋_GB2312"/>
                <w:color w:val="auto"/>
                <w:kern w:val="0"/>
                <w:sz w:val="18"/>
                <w:szCs w:val="18"/>
                <w:highlight w:val="none"/>
                <w:lang w:val="en-US" w:eastAsia="zh-CN"/>
              </w:rPr>
              <w:t>000</w:t>
            </w:r>
          </w:p>
        </w:tc>
        <w:tc>
          <w:tcPr>
            <w:tcW w:w="1650" w:type="dxa"/>
            <w:noWrap w:val="0"/>
            <w:vAlign w:val="center"/>
          </w:tcPr>
          <w:p w14:paraId="7038CA21">
            <w:pPr>
              <w:keepNext w:val="0"/>
              <w:keepLines w:val="0"/>
              <w:pageBreakBefore w:val="0"/>
              <w:widowControl/>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【行政法规】《森林采伐更新管理办法》（2011年国务院令第588号修订）</w:t>
            </w:r>
          </w:p>
          <w:p w14:paraId="28F88213">
            <w:pPr>
              <w:keepNext w:val="0"/>
              <w:keepLines w:val="0"/>
              <w:pageBreakBefore w:val="0"/>
              <w:widowControl/>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第十三条 森林采伐后，核发林木采伐许可证的部门应当对采伐作业质量组织检查验收，签发采伐作业质量验收证明。验收证明格式由省、自治区、直辖市林业主管部门制定。</w:t>
            </w:r>
          </w:p>
          <w:p w14:paraId="38CA4EBD">
            <w:pPr>
              <w:keepNext w:val="0"/>
              <w:keepLines w:val="0"/>
              <w:pageBreakBefore w:val="0"/>
              <w:widowControl/>
              <w:kinsoku/>
              <w:wordWrap/>
              <w:overflowPunct/>
              <w:topLinePunct w:val="0"/>
              <w:autoSpaceDE/>
              <w:bidi w:val="0"/>
              <w:adjustRightInd w:val="0"/>
              <w:snapToGrid w:val="0"/>
              <w:spacing w:line="240" w:lineRule="auto"/>
              <w:ind w:firstLine="360" w:firstLineChars="200"/>
              <w:jc w:val="left"/>
              <w:textAlignment w:val="auto"/>
              <w:outlineLvl w:val="9"/>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第十八条 森林更新后，核发林木采伐许可证的部门应当组织更新单位对更新面积和质量进行检查验收，核发更新验收合格证。</w:t>
            </w:r>
          </w:p>
        </w:tc>
        <w:tc>
          <w:tcPr>
            <w:tcW w:w="615" w:type="dxa"/>
            <w:noWrap w:val="0"/>
            <w:vAlign w:val="center"/>
          </w:tcPr>
          <w:p w14:paraId="77EFBB69">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采伐作业、更新面积质量检查验收</w:t>
            </w:r>
          </w:p>
        </w:tc>
        <w:tc>
          <w:tcPr>
            <w:tcW w:w="1410" w:type="dxa"/>
            <w:noWrap w:val="0"/>
            <w:vAlign w:val="center"/>
          </w:tcPr>
          <w:p w14:paraId="046A867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1.检查责任：依法对采伐作业、更新面积质量进行监督检验。 </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2.处理责任：在监督检查过程中，发现违法违规行为，应当责令立即纠正，依法予以处理。</w:t>
            </w:r>
          </w:p>
          <w:p w14:paraId="4D225F4A">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3.复查责任</w:t>
            </w:r>
            <w:r>
              <w:rPr>
                <w:rFonts w:hint="eastAsia" w:ascii="仿宋_GB2312" w:hAnsi="仿宋_GB2312" w:eastAsia="仿宋_GB2312" w:cs="仿宋_GB2312"/>
                <w:color w:val="auto"/>
                <w:sz w:val="18"/>
                <w:szCs w:val="18"/>
                <w:highlight w:val="none"/>
                <w:lang w:val="en-US" w:eastAsia="zh-CN"/>
              </w:rPr>
              <w:t>:</w:t>
            </w:r>
            <w:r>
              <w:rPr>
                <w:rFonts w:hint="eastAsia" w:ascii="仿宋_GB2312" w:hAnsi="仿宋_GB2312" w:eastAsia="仿宋_GB2312" w:cs="仿宋_GB2312"/>
                <w:color w:val="auto"/>
                <w:sz w:val="18"/>
                <w:szCs w:val="18"/>
                <w:highlight w:val="none"/>
              </w:rPr>
              <w:t>依据责令限期改正期限或当事人的复查申请，对违法行为进行复查。</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.归档责任：对检查工作中形成的材料，应当及时进行整理，立卷归档。</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lang w:val="en-US" w:eastAsia="zh-CN"/>
              </w:rPr>
              <w:t>5</w:t>
            </w:r>
            <w:r>
              <w:rPr>
                <w:rFonts w:hint="eastAsia" w:ascii="仿宋_GB2312" w:hAnsi="仿宋_GB2312" w:eastAsia="仿宋_GB2312" w:cs="仿宋_GB2312"/>
                <w:color w:val="auto"/>
                <w:sz w:val="18"/>
                <w:szCs w:val="18"/>
                <w:highlight w:val="none"/>
              </w:rPr>
              <w:t>.</w:t>
            </w:r>
            <w:r>
              <w:rPr>
                <w:rFonts w:hint="eastAsia" w:ascii="仿宋_GB2312" w:hAnsi="仿宋_GB2312" w:eastAsia="仿宋_GB2312" w:cs="仿宋_GB2312"/>
                <w:bCs/>
                <w:color w:val="auto"/>
                <w:sz w:val="18"/>
                <w:szCs w:val="18"/>
                <w:highlight w:val="none"/>
              </w:rPr>
              <w:t>其他法律法规规章文件规定应履行的责任。</w:t>
            </w:r>
          </w:p>
        </w:tc>
        <w:tc>
          <w:tcPr>
            <w:tcW w:w="1440" w:type="dxa"/>
            <w:noWrap w:val="0"/>
            <w:vAlign w:val="center"/>
          </w:tcPr>
          <w:p w14:paraId="46694A1F">
            <w:pPr>
              <w:widowControl/>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【行政法规】《森林采伐更新管理办法》（2011年国务院令第588号修订）</w:t>
            </w:r>
          </w:p>
          <w:p w14:paraId="053AB7C8">
            <w:pPr>
              <w:widowControl/>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第十三条 森林采伐后，核发林木采伐许可证的部门应当对采伐作业质量组织检查验收，签发采伐作业质量验收证明。验收证明格式由省、自治区、直辖市林业主管部门制定。</w:t>
            </w:r>
          </w:p>
          <w:p w14:paraId="2F7BA258">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第十八条 森林更新后，核发林木采伐许可证的部门应当组织更新单位对更新面积和质量进行检查验收，核发更新验收合格证。</w:t>
            </w:r>
          </w:p>
        </w:tc>
        <w:tc>
          <w:tcPr>
            <w:tcW w:w="1215" w:type="dxa"/>
            <w:noWrap w:val="0"/>
            <w:vAlign w:val="center"/>
          </w:tcPr>
          <w:p w14:paraId="02B556B2">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1.未按规定履行监督检查职责的；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2.发现存在问题未及时通知整改的；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3.监督检查过程中存在滥用职权、玩忽职守、徇私舞弊行为的；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4.在行政监督过程中发生腐败行为的；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5.未按裁量权规定，滥用裁量权的；</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6.其他违反法律法规规章文件规定的行为。</w:t>
            </w:r>
          </w:p>
        </w:tc>
        <w:tc>
          <w:tcPr>
            <w:tcW w:w="2340" w:type="dxa"/>
            <w:noWrap w:val="0"/>
            <w:vAlign w:val="center"/>
          </w:tcPr>
          <w:p w14:paraId="54F7F84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2AA367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31F8BADE">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7DE1A0D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718CBC6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4A3BBEAD">
            <w:pPr>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58FB4F8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1.给予检查人责令作出书面检查、批评教育、取消年度评比先进资格、暂扣行政执法证件、离岗培训、调离工作岗位、取消行政执法资格以及处分等责任追究；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2.给予批准人诫勉谈话、责令限期整改、责令作出书面检查、责令公开道歉、取消年度评比先进资格、通报批评、责令停职反省或者责令辞职、建议免职以及处分等责任追究；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3.给予行政机关责令限期整改、通报批评、取消评比先进资格等责任追究；</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r>
              <w:rPr>
                <w:rFonts w:hint="eastAsia" w:ascii="仿宋_GB2312" w:hAnsi="仿宋_GB2312" w:eastAsia="仿宋_GB2312" w:cs="仿宋_GB2312"/>
                <w:color w:val="auto"/>
                <w:sz w:val="18"/>
                <w:szCs w:val="18"/>
                <w:highlight w:val="none"/>
              </w:rPr>
              <w:br w:type="textWrapping"/>
            </w:r>
            <w:r>
              <w:rPr>
                <w:rFonts w:hint="eastAsia" w:ascii="仿宋_GB2312" w:hAnsi="仿宋_GB2312" w:eastAsia="仿宋_GB2312" w:cs="仿宋_GB2312"/>
                <w:color w:val="auto"/>
                <w:sz w:val="18"/>
                <w:szCs w:val="18"/>
                <w:highlight w:val="none"/>
              </w:rPr>
              <w:t>5.其他法律法规规章文件规定的责任承担方式。</w:t>
            </w:r>
          </w:p>
        </w:tc>
        <w:tc>
          <w:tcPr>
            <w:tcW w:w="3242" w:type="dxa"/>
            <w:noWrap w:val="0"/>
            <w:vAlign w:val="center"/>
          </w:tcPr>
          <w:p w14:paraId="2B5468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FD1C038">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7237F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4380DE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126AAD7">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16455CF">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4F524436">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F8A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15F467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12</w:t>
            </w:r>
          </w:p>
        </w:tc>
        <w:tc>
          <w:tcPr>
            <w:tcW w:w="612" w:type="dxa"/>
            <w:noWrap w:val="0"/>
            <w:vAlign w:val="center"/>
          </w:tcPr>
          <w:p w14:paraId="017340F1">
            <w:pPr>
              <w:widowControl/>
              <w:adjustRightInd w:val="0"/>
              <w:snapToGrid w:val="0"/>
              <w:rPr>
                <w:rFonts w:hint="default" w:ascii="仿宋_GB2312" w:hAnsi="仿宋_GB2312" w:eastAsia="仿宋_GB2312" w:cs="仿宋_GB2312"/>
                <w:color w:val="auto"/>
                <w:kern w:val="2"/>
                <w:sz w:val="18"/>
                <w:szCs w:val="18"/>
                <w:highlight w:val="none"/>
                <w:lang w:val="en-US" w:eastAsia="zh-CN" w:bidi="ar-SA"/>
              </w:rPr>
            </w:pPr>
            <w:r>
              <w:rPr>
                <w:rFonts w:hint="default" w:ascii="仿宋_GB2312" w:hAnsi="仿宋_GB2312" w:eastAsia="仿宋_GB2312" w:cs="仿宋_GB2312"/>
                <w:color w:val="auto"/>
                <w:sz w:val="18"/>
                <w:szCs w:val="18"/>
                <w:highlight w:val="none"/>
                <w:lang w:val="en-US"/>
              </w:rPr>
              <w:t>城市绿化监察</w:t>
            </w:r>
          </w:p>
        </w:tc>
        <w:tc>
          <w:tcPr>
            <w:tcW w:w="615" w:type="dxa"/>
            <w:noWrap w:val="0"/>
            <w:vAlign w:val="center"/>
          </w:tcPr>
          <w:p w14:paraId="49A009AE">
            <w:pPr>
              <w:jc w:val="both"/>
              <w:rPr>
                <w:rFonts w:hint="default" w:ascii="仿宋_GB2312" w:hAnsi="仿宋_GB2312" w:eastAsia="仿宋_GB2312" w:cs="仿宋_GB2312"/>
                <w:color w:val="auto"/>
                <w:kern w:val="2"/>
                <w:sz w:val="18"/>
                <w:szCs w:val="18"/>
                <w:highlight w:val="none"/>
                <w:vertAlign w:val="baseline"/>
                <w:lang w:val="en-US" w:eastAsia="zh-CN" w:bidi="ar-SA"/>
              </w:rPr>
            </w:pPr>
          </w:p>
        </w:tc>
        <w:tc>
          <w:tcPr>
            <w:tcW w:w="600" w:type="dxa"/>
            <w:noWrap w:val="0"/>
            <w:vAlign w:val="center"/>
          </w:tcPr>
          <w:p w14:paraId="57D22AD7">
            <w:pPr>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default" w:ascii="仿宋_GB2312" w:hAnsi="仿宋_GB2312" w:eastAsia="仿宋_GB2312" w:cs="仿宋_GB2312"/>
                <w:color w:val="auto"/>
                <w:kern w:val="0"/>
                <w:sz w:val="18"/>
                <w:szCs w:val="18"/>
                <w:highlight w:val="none"/>
                <w:lang w:val="en-US" w:eastAsia="zh-CN"/>
              </w:rPr>
              <w:t>0</w:t>
            </w:r>
            <w:r>
              <w:rPr>
                <w:rFonts w:hint="default" w:ascii="仿宋_GB2312" w:hAnsi="仿宋_GB2312" w:cs="仿宋_GB2312"/>
                <w:color w:val="auto"/>
                <w:kern w:val="0"/>
                <w:sz w:val="18"/>
                <w:szCs w:val="18"/>
                <w:highlight w:val="none"/>
                <w:lang w:val="en-US" w:eastAsia="zh-CN"/>
              </w:rPr>
              <w:t>6</w:t>
            </w:r>
            <w:r>
              <w:rPr>
                <w:rFonts w:hint="default" w:ascii="仿宋_GB2312" w:hAnsi="仿宋_GB2312" w:eastAsia="仿宋_GB2312" w:cs="仿宋_GB2312"/>
                <w:color w:val="auto"/>
                <w:kern w:val="0"/>
                <w:sz w:val="18"/>
                <w:szCs w:val="18"/>
                <w:highlight w:val="none"/>
                <w:lang w:val="en-US" w:eastAsia="zh-CN"/>
              </w:rPr>
              <w:t>B1</w:t>
            </w:r>
            <w:r>
              <w:rPr>
                <w:rFonts w:hint="default" w:ascii="仿宋_GB2312" w:hAnsi="仿宋_GB2312" w:cs="仿宋_GB2312"/>
                <w:color w:val="auto"/>
                <w:kern w:val="0"/>
                <w:sz w:val="18"/>
                <w:szCs w:val="18"/>
                <w:highlight w:val="none"/>
                <w:lang w:val="en-US" w:eastAsia="zh-CN"/>
              </w:rPr>
              <w:t>512</w:t>
            </w:r>
            <w:r>
              <w:rPr>
                <w:rFonts w:hint="default" w:ascii="仿宋_GB2312" w:hAnsi="仿宋_GB2312" w:eastAsia="仿宋_GB2312" w:cs="仿宋_GB2312"/>
                <w:color w:val="auto"/>
                <w:kern w:val="0"/>
                <w:sz w:val="18"/>
                <w:szCs w:val="18"/>
                <w:highlight w:val="none"/>
                <w:lang w:val="en-US" w:eastAsia="zh-CN"/>
              </w:rPr>
              <w:t>000</w:t>
            </w:r>
          </w:p>
        </w:tc>
        <w:tc>
          <w:tcPr>
            <w:tcW w:w="1650" w:type="dxa"/>
            <w:noWrap w:val="0"/>
            <w:vAlign w:val="top"/>
          </w:tcPr>
          <w:p w14:paraId="0E519584">
            <w:pPr>
              <w:keepNext w:val="0"/>
              <w:keepLines w:val="0"/>
              <w:pageBreakBefore w:val="0"/>
              <w:kinsoku/>
              <w:wordWrap/>
              <w:overflowPunct/>
              <w:topLinePunct w:val="0"/>
              <w:autoSpaceDE/>
              <w:bidi w:val="0"/>
              <w:adjustRightInd w:val="0"/>
              <w:snapToGrid w:val="0"/>
              <w:spacing w:line="240" w:lineRule="auto"/>
              <w:jc w:val="left"/>
              <w:textAlignment w:val="auto"/>
              <w:outlineLvl w:val="9"/>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 xml:space="preserve">    【地方性法规】《宁夏回族自治区城市绿化管理条例》（201</w:t>
            </w:r>
            <w:r>
              <w:rPr>
                <w:rFonts w:hint="default" w:ascii="仿宋_GB2312" w:hAnsi="仿宋_GB2312" w:eastAsia="仿宋_GB2312" w:cs="仿宋_GB2312"/>
                <w:color w:val="auto"/>
                <w:sz w:val="18"/>
                <w:szCs w:val="18"/>
                <w:highlight w:val="none"/>
                <w:lang w:val="en-US" w:eastAsia="zh-CN"/>
              </w:rPr>
              <w:t>9</w:t>
            </w:r>
            <w:r>
              <w:rPr>
                <w:rFonts w:hint="default" w:ascii="仿宋_GB2312" w:hAnsi="仿宋_GB2312" w:eastAsia="仿宋_GB2312" w:cs="仿宋_GB2312"/>
                <w:color w:val="auto"/>
                <w:sz w:val="18"/>
                <w:szCs w:val="18"/>
                <w:highlight w:val="none"/>
                <w:lang w:val="en-US"/>
              </w:rPr>
              <w:t>年修正）</w:t>
            </w:r>
          </w:p>
          <w:p w14:paraId="057FA9CA">
            <w:pPr>
              <w:keepNext w:val="0"/>
              <w:keepLines w:val="0"/>
              <w:pageBreakBefore w:val="0"/>
              <w:kinsoku/>
              <w:wordWrap/>
              <w:overflowPunct/>
              <w:topLinePunct w:val="0"/>
              <w:autoSpaceDE/>
              <w:bidi w:val="0"/>
              <w:adjustRightInd w:val="0"/>
              <w:snapToGrid w:val="0"/>
              <w:spacing w:line="240" w:lineRule="auto"/>
              <w:jc w:val="left"/>
              <w:textAlignment w:val="auto"/>
              <w:outlineLvl w:val="9"/>
              <w:rPr>
                <w:rFonts w:hint="default" w:ascii="仿宋_GB2312" w:hAnsi="仿宋_GB2312" w:eastAsia="仿宋_GB2312" w:cs="仿宋_GB2312"/>
                <w:color w:val="auto"/>
                <w:kern w:val="2"/>
                <w:sz w:val="18"/>
                <w:szCs w:val="18"/>
                <w:highlight w:val="none"/>
                <w:vertAlign w:val="baseline"/>
                <w:lang w:val="en-US" w:eastAsia="zh-CN" w:bidi="ar-SA"/>
              </w:rPr>
            </w:pPr>
            <w:r>
              <w:rPr>
                <w:rFonts w:hint="default" w:ascii="仿宋_GB2312" w:hAnsi="仿宋_GB2312" w:eastAsia="仿宋_GB2312" w:cs="仿宋_GB2312"/>
                <w:color w:val="auto"/>
                <w:sz w:val="18"/>
                <w:szCs w:val="18"/>
                <w:highlight w:val="none"/>
                <w:lang w:val="en-US"/>
              </w:rPr>
              <w:t xml:space="preserve">    第四条 县级以上各级人民政府建设行政主管部门或者园林绿化行政主管部门（以下统称城市绿化行政主管部门），主管本行政区域内城市规划区的城市绿化工作。</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 xml:space="preserve">    各级城建监察机构受城市绿化行政主管部门的委托，依法实施城市绿化监察。</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 xml:space="preserve">    在城市规划区内，法律、法规规定由林业行政主管部门管理的绿化工作，按其规定执行。</w:t>
            </w:r>
          </w:p>
        </w:tc>
        <w:tc>
          <w:tcPr>
            <w:tcW w:w="615" w:type="dxa"/>
            <w:noWrap w:val="0"/>
            <w:vAlign w:val="center"/>
          </w:tcPr>
          <w:p w14:paraId="15A77CB0">
            <w:pPr>
              <w:snapToGrid w:val="0"/>
              <w:rPr>
                <w:rFonts w:hint="default" w:ascii="仿宋_GB2312" w:hAnsi="仿宋_GB2312" w:eastAsia="仿宋_GB2312" w:cs="仿宋_GB2312"/>
                <w:color w:val="auto"/>
                <w:kern w:val="2"/>
                <w:sz w:val="18"/>
                <w:szCs w:val="18"/>
                <w:highlight w:val="none"/>
                <w:vertAlign w:val="baseline"/>
                <w:lang w:val="en-US" w:eastAsia="zh-CN" w:bidi="ar-SA"/>
              </w:rPr>
            </w:pPr>
            <w:r>
              <w:rPr>
                <w:rFonts w:hint="default" w:ascii="仿宋_GB2312" w:hAnsi="仿宋_GB2312" w:eastAsia="仿宋_GB2312" w:cs="仿宋_GB2312"/>
                <w:color w:val="auto"/>
                <w:sz w:val="18"/>
                <w:szCs w:val="18"/>
                <w:highlight w:val="none"/>
                <w:lang w:val="en-US"/>
              </w:rPr>
              <w:t>城市绿化监察</w:t>
            </w:r>
          </w:p>
        </w:tc>
        <w:tc>
          <w:tcPr>
            <w:tcW w:w="1410" w:type="dxa"/>
            <w:noWrap w:val="0"/>
            <w:vAlign w:val="center"/>
          </w:tcPr>
          <w:p w14:paraId="566DB3E6">
            <w:pPr>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1.检查责任：依法对城市绿化进行监察。 </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2.处理责任：在监督检查过程中，发现违法违规行为，应当责令立即纠正，依法予以处理。</w:t>
            </w:r>
          </w:p>
          <w:p w14:paraId="1ECE3762">
            <w:pPr>
              <w:snapToGrid w:val="0"/>
              <w:rPr>
                <w:rFonts w:hint="default" w:ascii="仿宋_GB2312" w:hAnsi="仿宋_GB2312" w:eastAsia="仿宋_GB2312" w:cs="仿宋_GB2312"/>
                <w:color w:val="auto"/>
                <w:kern w:val="2"/>
                <w:sz w:val="18"/>
                <w:szCs w:val="18"/>
                <w:highlight w:val="none"/>
                <w:vertAlign w:val="baseline"/>
                <w:lang w:val="en-US" w:eastAsia="zh-CN" w:bidi="ar-SA"/>
              </w:rPr>
            </w:pPr>
            <w:r>
              <w:rPr>
                <w:rFonts w:hint="default" w:ascii="仿宋_GB2312" w:hAnsi="仿宋_GB2312" w:eastAsia="仿宋_GB2312" w:cs="仿宋_GB2312"/>
                <w:color w:val="auto"/>
                <w:sz w:val="18"/>
                <w:szCs w:val="18"/>
                <w:highlight w:val="none"/>
                <w:lang w:val="en-US"/>
              </w:rPr>
              <w:t>3</w:t>
            </w:r>
            <w:r>
              <w:rPr>
                <w:rFonts w:hint="default" w:ascii="仿宋_GB2312" w:hAnsi="仿宋_GB2312" w:eastAsia="仿宋_GB2312" w:cs="仿宋_GB2312"/>
                <w:color w:val="auto"/>
                <w:sz w:val="18"/>
                <w:szCs w:val="18"/>
                <w:highlight w:val="none"/>
                <w:lang w:val="en-US" w:eastAsia="zh-CN"/>
              </w:rPr>
              <w:t>.</w:t>
            </w:r>
            <w:r>
              <w:rPr>
                <w:rFonts w:hint="default" w:ascii="仿宋_GB2312" w:hAnsi="仿宋_GB2312" w:eastAsia="仿宋_GB2312" w:cs="仿宋_GB2312"/>
                <w:color w:val="auto"/>
                <w:sz w:val="18"/>
                <w:szCs w:val="18"/>
                <w:highlight w:val="none"/>
                <w:lang w:val="en-US"/>
              </w:rPr>
              <w:t>复查责任：依据责令限期改正期限或当事人的复查申请，对违法行为进行复查。</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eastAsia="zh-CN"/>
              </w:rPr>
              <w:t>4</w:t>
            </w:r>
            <w:r>
              <w:rPr>
                <w:rFonts w:hint="default" w:ascii="仿宋_GB2312" w:hAnsi="仿宋_GB2312" w:eastAsia="仿宋_GB2312" w:cs="仿宋_GB2312"/>
                <w:color w:val="auto"/>
                <w:sz w:val="18"/>
                <w:szCs w:val="18"/>
                <w:highlight w:val="none"/>
                <w:lang w:val="en-US"/>
              </w:rPr>
              <w:t>.归档责任：对检查工作中形成的材料，应当及时进行整理，立卷归档。</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eastAsia="zh-CN"/>
              </w:rPr>
              <w:t>5</w:t>
            </w:r>
            <w:r>
              <w:rPr>
                <w:rFonts w:hint="default" w:ascii="仿宋_GB2312" w:hAnsi="仿宋_GB2312" w:eastAsia="仿宋_GB2312" w:cs="仿宋_GB2312"/>
                <w:color w:val="auto"/>
                <w:sz w:val="18"/>
                <w:szCs w:val="18"/>
                <w:highlight w:val="none"/>
                <w:lang w:val="en-US"/>
              </w:rPr>
              <w:t>.</w:t>
            </w:r>
            <w:r>
              <w:rPr>
                <w:rFonts w:hint="default" w:ascii="仿宋_GB2312" w:hAnsi="仿宋_GB2312" w:eastAsia="仿宋_GB2312" w:cs="仿宋_GB2312"/>
                <w:b/>
                <w:color w:val="auto"/>
                <w:sz w:val="18"/>
                <w:szCs w:val="18"/>
                <w:highlight w:val="none"/>
                <w:lang w:val="en-US"/>
              </w:rPr>
              <w:t>其他法律法规规章文件规定应履行的责任。</w:t>
            </w:r>
          </w:p>
        </w:tc>
        <w:tc>
          <w:tcPr>
            <w:tcW w:w="1440" w:type="dxa"/>
            <w:noWrap w:val="0"/>
            <w:vAlign w:val="top"/>
          </w:tcPr>
          <w:p w14:paraId="3FF863A6">
            <w:pPr>
              <w:adjustRightInd w:val="0"/>
              <w:snapToGrid w:val="0"/>
              <w:jc w:val="left"/>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【地方性法规】《宁夏回族自治区城市绿化管理条例》（2015年修正）</w:t>
            </w:r>
          </w:p>
          <w:p w14:paraId="6F82356C">
            <w:pPr>
              <w:adjustRightInd w:val="0"/>
              <w:snapToGrid w:val="0"/>
              <w:jc w:val="left"/>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 xml:space="preserve">    第四条 县级以上各级人民政府建设行政主管部门或者园林绿化行政主管部门（以下统称城市绿化行政主管部门），主管本行政区域内城市规划区的城市绿化工作。</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 xml:space="preserve">    各级城建监察机构受城市绿化行政主管部门的委托，依法实施城市绿化监察。</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 xml:space="preserve">    在城市规划区内，法律、法规规定由林业行政主管部门管理的绿化工作，按其规定执行。</w:t>
            </w:r>
          </w:p>
          <w:p w14:paraId="6F2EA642">
            <w:pPr>
              <w:adjustRightInd w:val="0"/>
              <w:snapToGrid w:val="0"/>
              <w:jc w:val="left"/>
              <w:rPr>
                <w:rFonts w:hint="default" w:ascii="仿宋_GB2312" w:hAnsi="仿宋_GB2312" w:eastAsia="仿宋_GB2312" w:cs="仿宋_GB2312"/>
                <w:color w:val="auto"/>
                <w:sz w:val="18"/>
                <w:szCs w:val="18"/>
                <w:highlight w:val="none"/>
                <w:lang w:val="en-US"/>
              </w:rPr>
            </w:pPr>
          </w:p>
          <w:p w14:paraId="401D8FD5">
            <w:pPr>
              <w:adjustRightInd w:val="0"/>
              <w:snapToGrid w:val="0"/>
              <w:jc w:val="left"/>
              <w:rPr>
                <w:rFonts w:hint="default" w:ascii="仿宋_GB2312" w:hAnsi="仿宋_GB2312" w:eastAsia="仿宋_GB2312" w:cs="仿宋_GB2312"/>
                <w:color w:val="auto"/>
                <w:sz w:val="18"/>
                <w:szCs w:val="18"/>
                <w:highlight w:val="none"/>
                <w:lang w:val="en-US"/>
              </w:rPr>
            </w:pPr>
          </w:p>
          <w:p w14:paraId="75B6BB3A">
            <w:pPr>
              <w:adjustRightInd w:val="0"/>
              <w:snapToGrid w:val="0"/>
              <w:jc w:val="left"/>
              <w:rPr>
                <w:rFonts w:hint="default" w:ascii="仿宋_GB2312" w:hAnsi="仿宋_GB2312" w:eastAsia="仿宋_GB2312" w:cs="仿宋_GB2312"/>
                <w:color w:val="auto"/>
                <w:sz w:val="18"/>
                <w:szCs w:val="18"/>
                <w:highlight w:val="none"/>
                <w:lang w:val="en-US"/>
              </w:rPr>
            </w:pPr>
          </w:p>
          <w:p w14:paraId="00815762">
            <w:pPr>
              <w:adjustRightInd w:val="0"/>
              <w:snapToGrid w:val="0"/>
              <w:jc w:val="left"/>
              <w:rPr>
                <w:rFonts w:hint="default" w:ascii="仿宋_GB2312" w:hAnsi="仿宋_GB2312" w:eastAsia="仿宋_GB2312" w:cs="仿宋_GB2312"/>
                <w:color w:val="auto"/>
                <w:sz w:val="18"/>
                <w:szCs w:val="18"/>
                <w:highlight w:val="none"/>
                <w:lang w:val="en-US"/>
              </w:rPr>
            </w:pPr>
          </w:p>
          <w:p w14:paraId="08FB2059">
            <w:pPr>
              <w:adjustRightInd w:val="0"/>
              <w:snapToGrid w:val="0"/>
              <w:jc w:val="left"/>
              <w:rPr>
                <w:rFonts w:hint="default" w:ascii="仿宋_GB2312" w:hAnsi="仿宋_GB2312" w:eastAsia="仿宋_GB2312" w:cs="仿宋_GB2312"/>
                <w:color w:val="auto"/>
                <w:kern w:val="2"/>
                <w:sz w:val="18"/>
                <w:szCs w:val="18"/>
                <w:highlight w:val="none"/>
                <w:vertAlign w:val="baseline"/>
                <w:lang w:val="en-US" w:eastAsia="zh-CN" w:bidi="ar-SA"/>
              </w:rPr>
            </w:pPr>
          </w:p>
        </w:tc>
        <w:tc>
          <w:tcPr>
            <w:tcW w:w="1215" w:type="dxa"/>
            <w:noWrap w:val="0"/>
            <w:vAlign w:val="center"/>
          </w:tcPr>
          <w:p w14:paraId="216C2039">
            <w:pPr>
              <w:snapToGrid w:val="0"/>
              <w:rPr>
                <w:rFonts w:hint="default" w:ascii="仿宋_GB2312" w:hAnsi="仿宋_GB2312" w:eastAsia="仿宋_GB2312" w:cs="仿宋_GB2312"/>
                <w:color w:val="auto"/>
                <w:kern w:val="2"/>
                <w:sz w:val="18"/>
                <w:szCs w:val="18"/>
                <w:highlight w:val="none"/>
                <w:vertAlign w:val="baseline"/>
                <w:lang w:val="en-US" w:eastAsia="zh-CN" w:bidi="ar-SA"/>
              </w:rPr>
            </w:pPr>
            <w:r>
              <w:rPr>
                <w:rFonts w:hint="default" w:ascii="仿宋_GB2312" w:hAnsi="仿宋_GB2312" w:eastAsia="仿宋_GB2312" w:cs="仿宋_GB2312"/>
                <w:color w:val="auto"/>
                <w:sz w:val="18"/>
                <w:szCs w:val="18"/>
                <w:highlight w:val="none"/>
                <w:lang w:val="en-US"/>
              </w:rPr>
              <w:t>因不履行或不正确履行行政职责，有下列情形的，行政机关及相关工作人员应承担相应责任：</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1.未按规定履行监督检查职责的；</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2.发现存在问题未及时通知整改的；</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3.监督检查过程中存在滥用职权、玩忽职守、徇私舞弊行为的；</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4.在行政监督过程中发生腐败行为的；</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5.未按裁量权规定，滥用裁量权的；</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6.其他违反法律法规规章文件规定的行为。</w:t>
            </w:r>
          </w:p>
        </w:tc>
        <w:tc>
          <w:tcPr>
            <w:tcW w:w="2340" w:type="dxa"/>
            <w:noWrap w:val="0"/>
            <w:vAlign w:val="center"/>
          </w:tcPr>
          <w:p w14:paraId="0EEA81D7">
            <w:pPr>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 xml:space="preserve">1.《宁夏回族自治区行政执法监督条例》第二十二条 </w:t>
            </w:r>
            <w:r>
              <w:rPr>
                <w:rFonts w:hint="eastAsia" w:ascii="仿宋_GB2312" w:hAnsi="仿宋_GB2312" w:eastAsia="仿宋_GB2312" w:cs="仿宋_GB2312"/>
                <w:color w:val="auto"/>
                <w:sz w:val="18"/>
                <w:szCs w:val="18"/>
                <w:highlight w:val="none"/>
                <w:lang w:val="en-US" w:eastAsia="zh-CN"/>
              </w:rPr>
              <w:t>行政执法监督机关或者监督机构</w:t>
            </w:r>
            <w:r>
              <w:rPr>
                <w:rFonts w:hint="default" w:ascii="仿宋_GB2312" w:hAnsi="仿宋_GB2312" w:eastAsia="仿宋_GB2312" w:cs="仿宋_GB2312"/>
                <w:color w:val="auto"/>
                <w:sz w:val="18"/>
                <w:szCs w:val="18"/>
                <w:highlight w:val="none"/>
                <w:lang w:val="en-US"/>
              </w:rPr>
              <w:t>应当加强行政执法主体具体行政行为的监督，有下列情形之一的，依法予以纠正。（二）不履行或者拖延履行法定职责的；</w:t>
            </w:r>
          </w:p>
          <w:p w14:paraId="01C30CBE">
            <w:pPr>
              <w:shd w:val="clear" w:color="auto" w:fill="FFFFFF"/>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 xml:space="preserve">2.《宁夏回族自治区行政执法监督条例》第二十二条 </w:t>
            </w:r>
            <w:r>
              <w:rPr>
                <w:rFonts w:hint="eastAsia" w:ascii="仿宋_GB2312" w:hAnsi="仿宋_GB2312" w:eastAsia="仿宋_GB2312" w:cs="仿宋_GB2312"/>
                <w:color w:val="auto"/>
                <w:sz w:val="18"/>
                <w:szCs w:val="18"/>
                <w:highlight w:val="none"/>
                <w:lang w:val="en-US" w:eastAsia="zh-CN"/>
              </w:rPr>
              <w:t>行政执法监督机关或者监督机构</w:t>
            </w:r>
            <w:r>
              <w:rPr>
                <w:rFonts w:hint="default" w:ascii="仿宋_GB2312" w:hAnsi="仿宋_GB2312" w:eastAsia="仿宋_GB2312" w:cs="仿宋_GB2312"/>
                <w:color w:val="auto"/>
                <w:sz w:val="18"/>
                <w:szCs w:val="18"/>
                <w:highlight w:val="none"/>
                <w:lang w:val="en-US"/>
              </w:rPr>
              <w:t>应当加强行政执法主体具体行政行为的监督，有下列情形之一的，依法予以纠正。（六）违反法定程序的。</w:t>
            </w:r>
          </w:p>
          <w:p w14:paraId="14531395">
            <w:pPr>
              <w:widowControl/>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3.《宁夏回族自治区行政程序规定》第一百一十三条“行政机关及其工作人员违反本规定，有下列情形之一的，依照国家和自治区有关规定追究责任：（三）超越或者滥用职权的；</w:t>
            </w:r>
          </w:p>
          <w:p w14:paraId="1F75F645">
            <w:pPr>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1FF52F0D">
            <w:pPr>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01A91ED2">
            <w:pPr>
              <w:snapToGrid w:val="0"/>
              <w:rPr>
                <w:rFonts w:hint="default" w:ascii="仿宋_GB2312" w:hAnsi="仿宋_GB2312" w:eastAsia="仿宋_GB2312" w:cs="仿宋_GB2312"/>
                <w:color w:val="auto"/>
                <w:kern w:val="2"/>
                <w:sz w:val="18"/>
                <w:szCs w:val="18"/>
                <w:highlight w:val="none"/>
                <w:vertAlign w:val="baseline"/>
                <w:lang w:val="en-US" w:eastAsia="zh-CN" w:bidi="ar-SA"/>
              </w:rPr>
            </w:pPr>
            <w:r>
              <w:rPr>
                <w:rFonts w:hint="default" w:ascii="仿宋_GB2312" w:hAnsi="仿宋_GB2312" w:eastAsia="仿宋_GB2312" w:cs="仿宋_GB2312"/>
                <w:color w:val="auto"/>
                <w:sz w:val="18"/>
                <w:szCs w:val="18"/>
                <w:highlight w:val="none"/>
                <w:lang w:val="en-US"/>
              </w:rPr>
              <w:t>6.《宁夏回族自治区行政责任追究办法》第十四条“行政机关及其工作人员在实施行政监督检查过程中有下列情形之一的，应当追究其行政责任：（六）其他违法实施行政监督检查的情形。”</w:t>
            </w:r>
          </w:p>
        </w:tc>
        <w:tc>
          <w:tcPr>
            <w:tcW w:w="1770" w:type="dxa"/>
            <w:noWrap w:val="0"/>
            <w:vAlign w:val="center"/>
          </w:tcPr>
          <w:p w14:paraId="762B533F">
            <w:pPr>
              <w:adjustRightInd w:val="0"/>
              <w:snapToGrid w:val="0"/>
              <w:rPr>
                <w:rFonts w:hint="default" w:ascii="仿宋_GB2312" w:hAnsi="仿宋_GB2312" w:eastAsia="仿宋_GB2312" w:cs="仿宋_GB2312"/>
                <w:color w:val="auto"/>
                <w:sz w:val="18"/>
                <w:szCs w:val="18"/>
                <w:highlight w:val="none"/>
                <w:lang w:val="en-US"/>
              </w:rPr>
            </w:pPr>
          </w:p>
          <w:p w14:paraId="0E7248E2">
            <w:pPr>
              <w:adjustRightInd w:val="0"/>
              <w:snapToGrid w:val="0"/>
              <w:rPr>
                <w:rFonts w:hint="default" w:ascii="仿宋_GB2312" w:hAnsi="仿宋_GB2312" w:eastAsia="仿宋_GB2312" w:cs="仿宋_GB2312"/>
                <w:color w:val="auto"/>
                <w:sz w:val="18"/>
                <w:szCs w:val="18"/>
                <w:highlight w:val="none"/>
                <w:lang w:val="en-US"/>
              </w:rPr>
            </w:pPr>
          </w:p>
          <w:p w14:paraId="70912957">
            <w:pPr>
              <w:adjustRightInd w:val="0"/>
              <w:snapToGrid w:val="0"/>
              <w:rPr>
                <w:rFonts w:hint="default" w:ascii="仿宋_GB2312" w:hAnsi="仿宋_GB2312" w:eastAsia="仿宋_GB2312" w:cs="仿宋_GB2312"/>
                <w:color w:val="auto"/>
                <w:sz w:val="18"/>
                <w:szCs w:val="18"/>
                <w:highlight w:val="none"/>
                <w:lang w:val="en-US"/>
              </w:rPr>
            </w:pPr>
          </w:p>
          <w:p w14:paraId="4EED6813">
            <w:pPr>
              <w:adjustRightInd w:val="0"/>
              <w:snapToGrid w:val="0"/>
              <w:rPr>
                <w:rFonts w:hint="default" w:ascii="仿宋_GB2312" w:hAnsi="仿宋_GB2312" w:eastAsia="仿宋_GB2312" w:cs="仿宋_GB2312"/>
                <w:color w:val="auto"/>
                <w:kern w:val="2"/>
                <w:sz w:val="18"/>
                <w:szCs w:val="18"/>
                <w:highlight w:val="none"/>
                <w:vertAlign w:val="baseline"/>
                <w:lang w:val="en-US" w:eastAsia="zh-CN" w:bidi="ar-SA"/>
              </w:rPr>
            </w:pPr>
            <w:r>
              <w:rPr>
                <w:rFonts w:hint="default" w:ascii="仿宋_GB2312" w:hAnsi="仿宋_GB2312" w:eastAsia="仿宋_GB2312" w:cs="仿宋_GB2312"/>
                <w:color w:val="auto"/>
                <w:sz w:val="18"/>
                <w:szCs w:val="18"/>
                <w:highlight w:val="none"/>
                <w:lang w:val="en-US"/>
              </w:rPr>
              <w:t>对不履行或不正确履行行政职责的行政机关及相关工作人员，由上级行政机关或本级人民政府、监察机关、任免机关、政府法制机构等，依据过错与责任相适应的原则，按照各自权限，以下列方式追究其责任：</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1.给予检查人责令作出书面检查、批评教育、取消年度评比先进资格、暂扣行政执法证件、离岗培训、调离工作岗位、取消行政执法资格以及处分等责任追究；</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2.给予批准人诫勉谈话、责令限期整改、责令作出书面检查、责令公开道歉、取消年度评比先进资格、通报批评、责令停职反省或者责令辞职、建议免职以及处分等责任追究；</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3.给予行政机关责令限期整改、通报批评、取消评比先进资格等责任追究；</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4.对违反党纪的工作人员（中共党员）给予党纪处分；对构成犯罪的工作人员，移交司法机关，依法追究刑事责任；</w:t>
            </w:r>
            <w:r>
              <w:rPr>
                <w:rFonts w:hint="default" w:ascii="仿宋_GB2312" w:hAnsi="仿宋_GB2312" w:eastAsia="仿宋_GB2312" w:cs="仿宋_GB2312"/>
                <w:color w:val="auto"/>
                <w:sz w:val="18"/>
                <w:szCs w:val="18"/>
                <w:highlight w:val="none"/>
                <w:lang w:val="en-US"/>
              </w:rPr>
              <w:br w:type="textWrapping"/>
            </w:r>
            <w:r>
              <w:rPr>
                <w:rFonts w:hint="default" w:ascii="仿宋_GB2312" w:hAnsi="仿宋_GB2312" w:eastAsia="仿宋_GB2312" w:cs="仿宋_GB2312"/>
                <w:color w:val="auto"/>
                <w:sz w:val="18"/>
                <w:szCs w:val="18"/>
                <w:highlight w:val="none"/>
                <w:lang w:val="en-US"/>
              </w:rPr>
              <w:t>5.其他法律法规规章文件规定的责任承担方式。</w:t>
            </w:r>
          </w:p>
        </w:tc>
        <w:tc>
          <w:tcPr>
            <w:tcW w:w="3242" w:type="dxa"/>
            <w:noWrap w:val="0"/>
            <w:vAlign w:val="center"/>
          </w:tcPr>
          <w:p w14:paraId="60014941">
            <w:pPr>
              <w:shd w:val="clear" w:color="auto" w:fill="FFFFFF"/>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887B86C">
            <w:pPr>
              <w:shd w:val="clear" w:color="auto" w:fill="FFFFFF"/>
              <w:adjustRightInd w:val="0"/>
              <w:snapToGrid w:val="0"/>
              <w:rPr>
                <w:rFonts w:hint="default" w:ascii="仿宋_GB2312" w:hAnsi="仿宋_GB2312" w:eastAsia="仿宋_GB2312" w:cs="仿宋_GB2312"/>
                <w:i w:val="0"/>
                <w:caps w:val="0"/>
                <w:color w:val="auto"/>
                <w:spacing w:val="0"/>
                <w:sz w:val="18"/>
                <w:szCs w:val="18"/>
                <w:highlight w:val="none"/>
                <w:shd w:val="clear" w:color="auto" w:fill="FFFFFF"/>
                <w:lang w:val="en-US"/>
              </w:rPr>
            </w:pPr>
            <w:r>
              <w:rPr>
                <w:rFonts w:hint="default" w:ascii="仿宋_GB2312" w:hAnsi="仿宋_GB2312" w:eastAsia="仿宋_GB2312" w:cs="仿宋_GB2312"/>
                <w:color w:val="auto"/>
                <w:sz w:val="18"/>
                <w:szCs w:val="18"/>
                <w:highlight w:val="none"/>
                <w:lang w:val="en-US"/>
              </w:rPr>
              <w:t>1-2《宁夏回族自治区行政执法监督条例》第二十六条</w:t>
            </w:r>
            <w:r>
              <w:rPr>
                <w:rFonts w:hint="default" w:ascii="仿宋_GB2312" w:hAnsi="仿宋_GB2312" w:eastAsia="仿宋_GB2312" w:cs="仿宋_GB2312"/>
                <w:i w:val="0"/>
                <w:caps w:val="0"/>
                <w:color w:val="auto"/>
                <w:spacing w:val="0"/>
                <w:sz w:val="18"/>
                <w:szCs w:val="18"/>
                <w:highlight w:val="none"/>
                <w:shd w:val="clear" w:color="auto" w:fill="FFFFFF"/>
                <w:lang w:val="en-US"/>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行政执法监督机构视情节轻重</w:t>
            </w:r>
            <w:r>
              <w:rPr>
                <w:rFonts w:hint="default" w:ascii="仿宋_GB2312" w:hAnsi="仿宋_GB2312" w:eastAsia="仿宋_GB2312" w:cs="仿宋_GB2312"/>
                <w:i w:val="0"/>
                <w:caps w:val="0"/>
                <w:color w:val="auto"/>
                <w:spacing w:val="0"/>
                <w:sz w:val="18"/>
                <w:szCs w:val="18"/>
                <w:highlight w:val="none"/>
                <w:shd w:val="clear" w:color="auto" w:fill="FFFFFF"/>
                <w:lang w:val="en-US"/>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依法给予处分，并由自治区司法行政部门注销有关责任人员的行政执法证</w:t>
            </w:r>
            <w:r>
              <w:rPr>
                <w:rFonts w:hint="default" w:ascii="仿宋_GB2312" w:hAnsi="仿宋_GB2312" w:eastAsia="仿宋_GB2312" w:cs="仿宋_GB2312"/>
                <w:i w:val="0"/>
                <w:caps w:val="0"/>
                <w:color w:val="auto"/>
                <w:spacing w:val="0"/>
                <w:sz w:val="18"/>
                <w:szCs w:val="18"/>
                <w:highlight w:val="none"/>
                <w:shd w:val="clear" w:color="auto" w:fill="FFFFFF"/>
                <w:lang w:val="en-US"/>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0403B45">
            <w:pPr>
              <w:shd w:val="clear" w:color="auto" w:fill="FFFFFF"/>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rPr>
              <w:t>2.《宁夏回族自治区行政程序规定》第一百一十五条“（一）对行政机关的责任追究方式为：责令限期整改、通报批评、取消评比先进的资格等；</w:t>
            </w:r>
          </w:p>
          <w:p w14:paraId="2FC32941">
            <w:pPr>
              <w:shd w:val="clear" w:color="auto" w:fill="FFFFFF"/>
              <w:adjustRightInd w:val="0"/>
              <w:snapToGrid w:val="0"/>
              <w:rPr>
                <w:rFonts w:hint="default" w:ascii="仿宋_GB2312" w:hAnsi="仿宋_GB2312" w:eastAsia="仿宋_GB2312" w:cs="仿宋_GB2312"/>
                <w:color w:val="auto"/>
                <w:sz w:val="18"/>
                <w:szCs w:val="18"/>
                <w:highlight w:val="none"/>
                <w:lang w:val="en-US"/>
              </w:rPr>
            </w:pPr>
            <w:r>
              <w:rPr>
                <w:rFonts w:hint="default" w:ascii="仿宋_GB2312" w:hAnsi="仿宋_GB2312" w:eastAsia="仿宋_GB2312" w:cs="仿宋_GB2312"/>
                <w:color w:val="auto"/>
                <w:sz w:val="18"/>
                <w:szCs w:val="18"/>
                <w:highlight w:val="none"/>
                <w:lang w:val="en-US" w:eastAsia="zh-CN"/>
              </w:rPr>
              <w:t>3</w:t>
            </w:r>
            <w:r>
              <w:rPr>
                <w:rFonts w:hint="default" w:ascii="仿宋_GB2312" w:hAnsi="仿宋_GB2312" w:eastAsia="仿宋_GB2312" w:cs="仿宋_GB2312"/>
                <w:color w:val="auto"/>
                <w:sz w:val="18"/>
                <w:szCs w:val="18"/>
                <w:highlight w:val="none"/>
                <w:lang w:val="en-US"/>
              </w:rPr>
              <w:t>.《中国共产党纪律处分条例》第</w:t>
            </w:r>
            <w:r>
              <w:rPr>
                <w:rFonts w:hint="default" w:ascii="仿宋_GB2312" w:hAnsi="仿宋_GB2312" w:eastAsia="仿宋_GB2312" w:cs="仿宋_GB2312"/>
                <w:color w:val="auto"/>
                <w:sz w:val="18"/>
                <w:szCs w:val="18"/>
                <w:highlight w:val="none"/>
                <w:lang w:val="en-US" w:eastAsia="zh-CN"/>
              </w:rPr>
              <w:t>八</w:t>
            </w:r>
            <w:r>
              <w:rPr>
                <w:rFonts w:hint="default" w:ascii="仿宋_GB2312" w:hAnsi="仿宋_GB2312" w:eastAsia="仿宋_GB2312" w:cs="仿宋_GB2312"/>
                <w:color w:val="auto"/>
                <w:sz w:val="18"/>
                <w:szCs w:val="18"/>
                <w:highlight w:val="none"/>
                <w:lang w:val="en-US"/>
              </w:rPr>
              <w:t>条“对党员的纪律处分种类：（一）警告；（二）严重警告；（三）撤销党内职务；（四）留党察看；（五）开除党籍。”</w:t>
            </w:r>
          </w:p>
          <w:p w14:paraId="570E95AD">
            <w:pPr>
              <w:shd w:val="clear" w:color="auto" w:fill="FFFFFF"/>
              <w:adjustRightInd w:val="0"/>
              <w:snapToGrid w:val="0"/>
              <w:rPr>
                <w:rFonts w:hint="default" w:ascii="仿宋_GB2312" w:hAnsi="仿宋_GB2312" w:eastAsia="仿宋_GB2312" w:cs="仿宋_GB2312"/>
                <w:i w:val="0"/>
                <w:caps w:val="0"/>
                <w:color w:val="auto"/>
                <w:spacing w:val="0"/>
                <w:sz w:val="18"/>
                <w:szCs w:val="18"/>
                <w:highlight w:val="none"/>
                <w:shd w:val="clear" w:color="auto" w:fill="FFFFFF"/>
                <w:lang w:val="en-US"/>
              </w:rPr>
            </w:pPr>
            <w:r>
              <w:rPr>
                <w:rFonts w:hint="default" w:ascii="仿宋_GB2312" w:hAnsi="仿宋_GB2312" w:eastAsia="仿宋_GB2312" w:cs="仿宋_GB2312"/>
                <w:color w:val="auto"/>
                <w:sz w:val="18"/>
                <w:szCs w:val="18"/>
                <w:highlight w:val="none"/>
                <w:lang w:val="en-US" w:eastAsia="zh-CN"/>
              </w:rPr>
              <w:t>4</w:t>
            </w:r>
            <w:r>
              <w:rPr>
                <w:rFonts w:hint="default" w:ascii="仿宋_GB2312" w:hAnsi="仿宋_GB2312" w:eastAsia="仿宋_GB2312" w:cs="仿宋_GB2312"/>
                <w:color w:val="auto"/>
                <w:sz w:val="18"/>
                <w:szCs w:val="18"/>
                <w:highlight w:val="none"/>
                <w:lang w:val="en-US"/>
              </w:rPr>
              <w:t>.《行政机关公务员处分条例》第六条</w:t>
            </w:r>
            <w:r>
              <w:rPr>
                <w:rFonts w:hint="default" w:ascii="仿宋_GB2312" w:hAnsi="仿宋_GB2312" w:eastAsia="仿宋_GB2312" w:cs="仿宋_GB2312"/>
                <w:color w:val="auto"/>
                <w:sz w:val="18"/>
                <w:szCs w:val="18"/>
                <w:highlight w:val="none"/>
                <w:lang w:val="en-US" w:eastAsia="zh-CN"/>
              </w:rPr>
              <w:t xml:space="preserve"> </w:t>
            </w:r>
            <w:r>
              <w:rPr>
                <w:rFonts w:hint="default" w:ascii="仿宋_GB2312" w:hAnsi="仿宋_GB2312" w:eastAsia="仿宋_GB2312" w:cs="仿宋_GB2312"/>
                <w:i w:val="0"/>
                <w:caps w:val="0"/>
                <w:color w:val="auto"/>
                <w:spacing w:val="0"/>
                <w:sz w:val="18"/>
                <w:szCs w:val="18"/>
                <w:highlight w:val="none"/>
                <w:shd w:val="clear" w:color="auto" w:fill="FFFFFF"/>
                <w:lang w:val="en-US"/>
              </w:rPr>
              <w:t>行政机关公务员处分的种类为：(一)警告;(二)记过;(三)记大过;(四)降级;(五)撤职;(六)开除。</w:t>
            </w:r>
          </w:p>
          <w:p w14:paraId="44E7788A">
            <w:pPr>
              <w:shd w:val="clear" w:color="auto" w:fill="FFFFFF"/>
              <w:adjustRightInd w:val="0"/>
              <w:snapToGrid w:val="0"/>
              <w:rPr>
                <w:rFonts w:hint="default" w:ascii="仿宋_GB2312" w:hAnsi="仿宋_GB2312" w:eastAsia="仿宋_GB2312" w:cs="仿宋_GB2312"/>
                <w:i w:val="0"/>
                <w:caps w:val="0"/>
                <w:color w:val="auto"/>
                <w:spacing w:val="0"/>
                <w:sz w:val="18"/>
                <w:szCs w:val="18"/>
                <w:highlight w:val="none"/>
                <w:shd w:val="clear" w:color="auto" w:fill="FFFFFF"/>
                <w:lang w:val="en-US" w:eastAsia="zh-CN"/>
              </w:rPr>
            </w:pPr>
            <w:r>
              <w:rPr>
                <w:rFonts w:hint="default" w:ascii="仿宋_GB2312" w:hAnsi="仿宋_GB2312" w:eastAsia="仿宋_GB2312" w:cs="仿宋_GB2312"/>
                <w:i w:val="0"/>
                <w:caps w:val="0"/>
                <w:color w:val="auto"/>
                <w:spacing w:val="0"/>
                <w:sz w:val="18"/>
                <w:szCs w:val="18"/>
                <w:highlight w:val="none"/>
                <w:shd w:val="clear" w:color="auto" w:fill="FFFFFF"/>
                <w:lang w:val="en-US" w:eastAsia="zh-CN"/>
              </w:rPr>
              <w:t>5.</w:t>
            </w:r>
            <w:r>
              <w:rPr>
                <w:rFonts w:hint="default" w:ascii="仿宋_GB2312" w:hAnsi="仿宋_GB2312" w:eastAsia="仿宋_GB2312" w:cs="仿宋_GB2312"/>
                <w:color w:val="auto"/>
                <w:sz w:val="18"/>
                <w:szCs w:val="18"/>
                <w:highlight w:val="none"/>
                <w:lang w:val="en-US"/>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655C4D2D">
            <w:pPr>
              <w:adjustRightInd w:val="0"/>
              <w:snapToGrid w:val="0"/>
              <w:rPr>
                <w:rFonts w:hint="default" w:ascii="仿宋_GB2312" w:hAnsi="仿宋_GB2312" w:eastAsia="仿宋_GB2312" w:cs="仿宋_GB2312"/>
                <w:color w:val="auto"/>
                <w:kern w:val="2"/>
                <w:sz w:val="18"/>
                <w:szCs w:val="18"/>
                <w:highlight w:val="none"/>
                <w:vertAlign w:val="baseline"/>
                <w:lang w:val="en-US" w:eastAsia="zh-CN" w:bidi="ar-SA"/>
              </w:rPr>
            </w:pPr>
          </w:p>
        </w:tc>
      </w:tr>
    </w:tbl>
    <w:p w14:paraId="2A29A9C5">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七、行政确认</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033"/>
        <w:gridCol w:w="760"/>
        <w:gridCol w:w="686"/>
        <w:gridCol w:w="1974"/>
        <w:gridCol w:w="946"/>
        <w:gridCol w:w="1840"/>
        <w:gridCol w:w="1746"/>
        <w:gridCol w:w="1255"/>
        <w:gridCol w:w="1614"/>
        <w:gridCol w:w="1093"/>
        <w:gridCol w:w="1562"/>
      </w:tblGrid>
      <w:tr w14:paraId="0ADD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42522D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序号</w:t>
            </w:r>
          </w:p>
        </w:tc>
        <w:tc>
          <w:tcPr>
            <w:tcW w:w="2033" w:type="dxa"/>
            <w:noWrap w:val="0"/>
            <w:vAlign w:val="center"/>
          </w:tcPr>
          <w:p w14:paraId="3342E9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职权</w:t>
            </w:r>
          </w:p>
          <w:p w14:paraId="529ABF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highlight w:val="none"/>
              </w:rPr>
            </w:pPr>
            <w:r>
              <w:rPr>
                <w:rFonts w:hint="eastAsia" w:ascii="仿宋_GB2312" w:hAnsi="仿宋_GB2312" w:eastAsia="仿宋_GB2312" w:cs="仿宋_GB2312"/>
                <w:sz w:val="18"/>
                <w:szCs w:val="18"/>
                <w:highlight w:val="none"/>
                <w:vertAlign w:val="baseline"/>
                <w:lang w:val="en-US" w:eastAsia="zh-CN"/>
              </w:rPr>
              <w:t>名称</w:t>
            </w:r>
          </w:p>
        </w:tc>
        <w:tc>
          <w:tcPr>
            <w:tcW w:w="760" w:type="dxa"/>
            <w:noWrap w:val="0"/>
            <w:vAlign w:val="center"/>
          </w:tcPr>
          <w:p w14:paraId="6A8A44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子项</w:t>
            </w:r>
          </w:p>
          <w:p w14:paraId="37AEB0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名称</w:t>
            </w:r>
          </w:p>
        </w:tc>
        <w:tc>
          <w:tcPr>
            <w:tcW w:w="686" w:type="dxa"/>
            <w:noWrap w:val="0"/>
            <w:vAlign w:val="center"/>
          </w:tcPr>
          <w:p w14:paraId="307280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基本编码</w:t>
            </w:r>
          </w:p>
        </w:tc>
        <w:tc>
          <w:tcPr>
            <w:tcW w:w="1974" w:type="dxa"/>
            <w:noWrap w:val="0"/>
            <w:vAlign w:val="center"/>
          </w:tcPr>
          <w:p w14:paraId="009978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职权依据</w:t>
            </w:r>
          </w:p>
        </w:tc>
        <w:tc>
          <w:tcPr>
            <w:tcW w:w="946" w:type="dxa"/>
            <w:noWrap w:val="0"/>
            <w:vAlign w:val="center"/>
          </w:tcPr>
          <w:p w14:paraId="380BF4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行使内容</w:t>
            </w:r>
          </w:p>
        </w:tc>
        <w:tc>
          <w:tcPr>
            <w:tcW w:w="1840" w:type="dxa"/>
            <w:noWrap w:val="0"/>
            <w:vAlign w:val="center"/>
          </w:tcPr>
          <w:p w14:paraId="44D25E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阶段事项</w:t>
            </w:r>
          </w:p>
        </w:tc>
        <w:tc>
          <w:tcPr>
            <w:tcW w:w="1746" w:type="dxa"/>
            <w:noWrap w:val="0"/>
            <w:vAlign w:val="center"/>
          </w:tcPr>
          <w:p w14:paraId="580971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责任事项依据</w:t>
            </w:r>
          </w:p>
        </w:tc>
        <w:tc>
          <w:tcPr>
            <w:tcW w:w="1255" w:type="dxa"/>
            <w:noWrap w:val="0"/>
            <w:vAlign w:val="center"/>
          </w:tcPr>
          <w:p w14:paraId="5932FC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追责情形</w:t>
            </w:r>
          </w:p>
        </w:tc>
        <w:tc>
          <w:tcPr>
            <w:tcW w:w="1614" w:type="dxa"/>
            <w:noWrap w:val="0"/>
            <w:vAlign w:val="center"/>
          </w:tcPr>
          <w:p w14:paraId="079EF2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追责情形依据</w:t>
            </w:r>
          </w:p>
        </w:tc>
        <w:tc>
          <w:tcPr>
            <w:tcW w:w="1093" w:type="dxa"/>
            <w:noWrap w:val="0"/>
            <w:vAlign w:val="center"/>
          </w:tcPr>
          <w:p w14:paraId="2C0357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担责方式</w:t>
            </w:r>
          </w:p>
        </w:tc>
        <w:tc>
          <w:tcPr>
            <w:tcW w:w="1562" w:type="dxa"/>
            <w:noWrap w:val="0"/>
            <w:vAlign w:val="center"/>
          </w:tcPr>
          <w:p w14:paraId="1866293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担责方式依据</w:t>
            </w:r>
          </w:p>
        </w:tc>
      </w:tr>
      <w:tr w14:paraId="0652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5602B4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1</w:t>
            </w:r>
          </w:p>
        </w:tc>
        <w:tc>
          <w:tcPr>
            <w:tcW w:w="2033" w:type="dxa"/>
            <w:noWrap w:val="0"/>
            <w:vAlign w:val="center"/>
          </w:tcPr>
          <w:p w14:paraId="0B66A40C">
            <w:pPr>
              <w:jc w:val="both"/>
              <w:rPr>
                <w:highlight w:val="none"/>
              </w:rPr>
            </w:pPr>
          </w:p>
        </w:tc>
        <w:tc>
          <w:tcPr>
            <w:tcW w:w="760" w:type="dxa"/>
            <w:noWrap w:val="0"/>
            <w:vAlign w:val="center"/>
          </w:tcPr>
          <w:p w14:paraId="6EB030E1">
            <w:pPr>
              <w:jc w:val="both"/>
              <w:rPr>
                <w:rFonts w:hint="default" w:ascii="仿宋_GB2312" w:hAnsi="仿宋_GB2312" w:eastAsia="仿宋_GB2312" w:cs="仿宋_GB2312"/>
                <w:sz w:val="18"/>
                <w:szCs w:val="18"/>
                <w:highlight w:val="none"/>
                <w:vertAlign w:val="baseline"/>
                <w:lang w:val="en-US" w:eastAsia="zh-CN"/>
              </w:rPr>
            </w:pPr>
          </w:p>
        </w:tc>
        <w:tc>
          <w:tcPr>
            <w:tcW w:w="686" w:type="dxa"/>
            <w:noWrap w:val="0"/>
            <w:vAlign w:val="center"/>
          </w:tcPr>
          <w:p w14:paraId="7C4FECE9">
            <w:pPr>
              <w:jc w:val="center"/>
              <w:rPr>
                <w:rFonts w:hint="default" w:ascii="仿宋_GB2312" w:hAnsi="仿宋_GB2312" w:eastAsia="仿宋_GB2312" w:cs="仿宋_GB2312"/>
                <w:sz w:val="18"/>
                <w:szCs w:val="18"/>
                <w:highlight w:val="none"/>
                <w:vertAlign w:val="baseline"/>
                <w:lang w:val="en-US" w:eastAsia="zh-CN"/>
              </w:rPr>
            </w:pPr>
          </w:p>
        </w:tc>
        <w:tc>
          <w:tcPr>
            <w:tcW w:w="1974" w:type="dxa"/>
            <w:noWrap w:val="0"/>
            <w:vAlign w:val="center"/>
          </w:tcPr>
          <w:p w14:paraId="4AF2F8E4">
            <w:pPr>
              <w:jc w:val="both"/>
              <w:rPr>
                <w:rFonts w:hint="eastAsia" w:ascii="仿宋_GB2312" w:hAnsi="仿宋_GB2312" w:eastAsia="仿宋_GB2312" w:cs="仿宋_GB2312"/>
                <w:sz w:val="18"/>
                <w:szCs w:val="18"/>
                <w:highlight w:val="none"/>
                <w:vertAlign w:val="baseline"/>
                <w:lang w:val="en-US" w:eastAsia="zh-CN"/>
              </w:rPr>
            </w:pPr>
          </w:p>
        </w:tc>
        <w:tc>
          <w:tcPr>
            <w:tcW w:w="946" w:type="dxa"/>
            <w:noWrap w:val="0"/>
            <w:vAlign w:val="center"/>
          </w:tcPr>
          <w:p w14:paraId="02A4D198">
            <w:pPr>
              <w:jc w:val="both"/>
              <w:rPr>
                <w:rFonts w:hint="eastAsia" w:ascii="仿宋_GB2312" w:hAnsi="仿宋_GB2312" w:eastAsia="仿宋_GB2312" w:cs="仿宋_GB2312"/>
                <w:sz w:val="18"/>
                <w:szCs w:val="18"/>
                <w:highlight w:val="none"/>
                <w:vertAlign w:val="baseline"/>
                <w:lang w:val="en-US" w:eastAsia="zh-CN"/>
              </w:rPr>
            </w:pPr>
          </w:p>
        </w:tc>
        <w:tc>
          <w:tcPr>
            <w:tcW w:w="1840" w:type="dxa"/>
            <w:noWrap w:val="0"/>
            <w:vAlign w:val="center"/>
          </w:tcPr>
          <w:p w14:paraId="5626E4C6">
            <w:pPr>
              <w:jc w:val="both"/>
              <w:rPr>
                <w:rFonts w:hint="eastAsia" w:ascii="仿宋_GB2312" w:hAnsi="仿宋_GB2312" w:eastAsia="仿宋_GB2312" w:cs="仿宋_GB2312"/>
                <w:sz w:val="18"/>
                <w:szCs w:val="18"/>
                <w:highlight w:val="none"/>
                <w:vertAlign w:val="baseline"/>
                <w:lang w:val="en-US" w:eastAsia="zh-CN"/>
              </w:rPr>
            </w:pPr>
          </w:p>
        </w:tc>
        <w:tc>
          <w:tcPr>
            <w:tcW w:w="1746" w:type="dxa"/>
            <w:noWrap w:val="0"/>
            <w:vAlign w:val="center"/>
          </w:tcPr>
          <w:p w14:paraId="16AF3133">
            <w:pPr>
              <w:jc w:val="both"/>
              <w:rPr>
                <w:rFonts w:hint="eastAsia" w:ascii="仿宋_GB2312" w:hAnsi="仿宋_GB2312" w:eastAsia="仿宋_GB2312" w:cs="仿宋_GB2312"/>
                <w:sz w:val="18"/>
                <w:szCs w:val="18"/>
                <w:highlight w:val="none"/>
                <w:vertAlign w:val="baseline"/>
                <w:lang w:val="en-US" w:eastAsia="zh-CN"/>
              </w:rPr>
            </w:pPr>
          </w:p>
        </w:tc>
        <w:tc>
          <w:tcPr>
            <w:tcW w:w="1255" w:type="dxa"/>
            <w:noWrap w:val="0"/>
            <w:vAlign w:val="center"/>
          </w:tcPr>
          <w:p w14:paraId="0CB73E8B">
            <w:pPr>
              <w:jc w:val="both"/>
              <w:rPr>
                <w:rFonts w:hint="eastAsia" w:ascii="仿宋_GB2312" w:hAnsi="仿宋_GB2312" w:eastAsia="仿宋_GB2312" w:cs="仿宋_GB2312"/>
                <w:sz w:val="18"/>
                <w:szCs w:val="18"/>
                <w:highlight w:val="none"/>
                <w:vertAlign w:val="baseline"/>
                <w:lang w:val="en-US" w:eastAsia="zh-CN"/>
              </w:rPr>
            </w:pPr>
          </w:p>
        </w:tc>
        <w:tc>
          <w:tcPr>
            <w:tcW w:w="1614" w:type="dxa"/>
            <w:noWrap w:val="0"/>
            <w:vAlign w:val="center"/>
          </w:tcPr>
          <w:p w14:paraId="4241ABA5">
            <w:pPr>
              <w:jc w:val="both"/>
              <w:rPr>
                <w:rFonts w:hint="eastAsia" w:ascii="仿宋_GB2312" w:hAnsi="仿宋_GB2312" w:eastAsia="仿宋_GB2312" w:cs="仿宋_GB2312"/>
                <w:sz w:val="18"/>
                <w:szCs w:val="18"/>
                <w:highlight w:val="none"/>
                <w:vertAlign w:val="baseline"/>
                <w:lang w:val="en-US" w:eastAsia="zh-CN"/>
              </w:rPr>
            </w:pPr>
          </w:p>
        </w:tc>
        <w:tc>
          <w:tcPr>
            <w:tcW w:w="1093" w:type="dxa"/>
            <w:noWrap w:val="0"/>
            <w:vAlign w:val="center"/>
          </w:tcPr>
          <w:p w14:paraId="4B133C09">
            <w:pPr>
              <w:jc w:val="both"/>
              <w:rPr>
                <w:rFonts w:hint="eastAsia" w:ascii="仿宋_GB2312" w:hAnsi="仿宋_GB2312" w:eastAsia="仿宋_GB2312" w:cs="仿宋_GB2312"/>
                <w:sz w:val="18"/>
                <w:szCs w:val="18"/>
                <w:highlight w:val="none"/>
                <w:vertAlign w:val="baseline"/>
                <w:lang w:val="en-US" w:eastAsia="zh-CN"/>
              </w:rPr>
            </w:pPr>
          </w:p>
        </w:tc>
        <w:tc>
          <w:tcPr>
            <w:tcW w:w="1562" w:type="dxa"/>
            <w:noWrap w:val="0"/>
            <w:vAlign w:val="center"/>
          </w:tcPr>
          <w:p w14:paraId="04733F78">
            <w:pPr>
              <w:jc w:val="both"/>
              <w:rPr>
                <w:rFonts w:hint="eastAsia" w:ascii="仿宋_GB2312" w:hAnsi="仿宋_GB2312" w:eastAsia="仿宋_GB2312" w:cs="仿宋_GB2312"/>
                <w:sz w:val="18"/>
                <w:szCs w:val="18"/>
                <w:highlight w:val="none"/>
                <w:vertAlign w:val="baseline"/>
                <w:lang w:val="en-US" w:eastAsia="zh-CN"/>
              </w:rPr>
            </w:pPr>
          </w:p>
        </w:tc>
      </w:tr>
      <w:tr w14:paraId="3EC4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6CF299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2</w:t>
            </w:r>
          </w:p>
        </w:tc>
        <w:tc>
          <w:tcPr>
            <w:tcW w:w="2033" w:type="dxa"/>
            <w:noWrap w:val="0"/>
            <w:vAlign w:val="center"/>
          </w:tcPr>
          <w:p w14:paraId="6E78AFC9">
            <w:pPr>
              <w:jc w:val="both"/>
              <w:rPr>
                <w:highlight w:val="none"/>
              </w:rPr>
            </w:pPr>
          </w:p>
        </w:tc>
        <w:tc>
          <w:tcPr>
            <w:tcW w:w="760" w:type="dxa"/>
            <w:noWrap w:val="0"/>
            <w:vAlign w:val="center"/>
          </w:tcPr>
          <w:p w14:paraId="44BA2012">
            <w:pPr>
              <w:jc w:val="both"/>
              <w:rPr>
                <w:rFonts w:hint="eastAsia" w:ascii="仿宋_GB2312" w:hAnsi="仿宋_GB2312" w:eastAsia="仿宋_GB2312" w:cs="仿宋_GB2312"/>
                <w:sz w:val="18"/>
                <w:szCs w:val="18"/>
                <w:highlight w:val="none"/>
                <w:vertAlign w:val="baseline"/>
                <w:lang w:val="en-US" w:eastAsia="zh-CN"/>
              </w:rPr>
            </w:pPr>
          </w:p>
        </w:tc>
        <w:tc>
          <w:tcPr>
            <w:tcW w:w="686" w:type="dxa"/>
            <w:noWrap w:val="0"/>
            <w:vAlign w:val="center"/>
          </w:tcPr>
          <w:p w14:paraId="368E79A3">
            <w:pPr>
              <w:jc w:val="center"/>
              <w:rPr>
                <w:rFonts w:hint="eastAsia" w:ascii="仿宋_GB2312" w:hAnsi="仿宋_GB2312" w:eastAsia="仿宋_GB2312" w:cs="仿宋_GB2312"/>
                <w:sz w:val="18"/>
                <w:szCs w:val="18"/>
                <w:highlight w:val="none"/>
                <w:vertAlign w:val="baseline"/>
                <w:lang w:val="en-US" w:eastAsia="zh-CN"/>
              </w:rPr>
            </w:pPr>
          </w:p>
        </w:tc>
        <w:tc>
          <w:tcPr>
            <w:tcW w:w="1974" w:type="dxa"/>
            <w:noWrap w:val="0"/>
            <w:vAlign w:val="center"/>
          </w:tcPr>
          <w:p w14:paraId="3312A246">
            <w:pPr>
              <w:jc w:val="both"/>
              <w:rPr>
                <w:rFonts w:hint="eastAsia" w:ascii="仿宋_GB2312" w:hAnsi="仿宋_GB2312" w:eastAsia="仿宋_GB2312" w:cs="仿宋_GB2312"/>
                <w:sz w:val="18"/>
                <w:szCs w:val="18"/>
                <w:highlight w:val="none"/>
                <w:vertAlign w:val="baseline"/>
                <w:lang w:val="en-US" w:eastAsia="zh-CN"/>
              </w:rPr>
            </w:pPr>
          </w:p>
        </w:tc>
        <w:tc>
          <w:tcPr>
            <w:tcW w:w="946" w:type="dxa"/>
            <w:noWrap w:val="0"/>
            <w:vAlign w:val="center"/>
          </w:tcPr>
          <w:p w14:paraId="22FD1565">
            <w:pPr>
              <w:jc w:val="both"/>
              <w:rPr>
                <w:rFonts w:hint="eastAsia" w:ascii="仿宋_GB2312" w:hAnsi="仿宋_GB2312" w:eastAsia="仿宋_GB2312" w:cs="仿宋_GB2312"/>
                <w:sz w:val="18"/>
                <w:szCs w:val="18"/>
                <w:highlight w:val="none"/>
                <w:vertAlign w:val="baseline"/>
                <w:lang w:val="en-US" w:eastAsia="zh-CN"/>
              </w:rPr>
            </w:pPr>
          </w:p>
        </w:tc>
        <w:tc>
          <w:tcPr>
            <w:tcW w:w="1840" w:type="dxa"/>
            <w:noWrap w:val="0"/>
            <w:vAlign w:val="center"/>
          </w:tcPr>
          <w:p w14:paraId="5A0D1EAD">
            <w:pPr>
              <w:jc w:val="both"/>
              <w:rPr>
                <w:rFonts w:hint="eastAsia" w:ascii="仿宋_GB2312" w:hAnsi="仿宋_GB2312" w:eastAsia="仿宋_GB2312" w:cs="仿宋_GB2312"/>
                <w:sz w:val="18"/>
                <w:szCs w:val="18"/>
                <w:highlight w:val="none"/>
                <w:vertAlign w:val="baseline"/>
                <w:lang w:val="en-US" w:eastAsia="zh-CN"/>
              </w:rPr>
            </w:pPr>
          </w:p>
        </w:tc>
        <w:tc>
          <w:tcPr>
            <w:tcW w:w="1746" w:type="dxa"/>
            <w:noWrap w:val="0"/>
            <w:vAlign w:val="center"/>
          </w:tcPr>
          <w:p w14:paraId="6A062FEB">
            <w:pPr>
              <w:jc w:val="both"/>
              <w:rPr>
                <w:rFonts w:hint="eastAsia" w:ascii="仿宋_GB2312" w:hAnsi="仿宋_GB2312" w:eastAsia="仿宋_GB2312" w:cs="仿宋_GB2312"/>
                <w:sz w:val="18"/>
                <w:szCs w:val="18"/>
                <w:highlight w:val="none"/>
                <w:vertAlign w:val="baseline"/>
                <w:lang w:val="en-US" w:eastAsia="zh-CN"/>
              </w:rPr>
            </w:pPr>
          </w:p>
        </w:tc>
        <w:tc>
          <w:tcPr>
            <w:tcW w:w="1255" w:type="dxa"/>
            <w:noWrap w:val="0"/>
            <w:vAlign w:val="center"/>
          </w:tcPr>
          <w:p w14:paraId="7CD50539">
            <w:pPr>
              <w:jc w:val="both"/>
              <w:rPr>
                <w:rFonts w:hint="eastAsia" w:ascii="仿宋_GB2312" w:hAnsi="仿宋_GB2312" w:eastAsia="仿宋_GB2312" w:cs="仿宋_GB2312"/>
                <w:sz w:val="18"/>
                <w:szCs w:val="18"/>
                <w:highlight w:val="none"/>
                <w:vertAlign w:val="baseline"/>
                <w:lang w:val="en-US" w:eastAsia="zh-CN"/>
              </w:rPr>
            </w:pPr>
          </w:p>
        </w:tc>
        <w:tc>
          <w:tcPr>
            <w:tcW w:w="1614" w:type="dxa"/>
            <w:noWrap w:val="0"/>
            <w:vAlign w:val="center"/>
          </w:tcPr>
          <w:p w14:paraId="5317D336">
            <w:pPr>
              <w:jc w:val="both"/>
              <w:rPr>
                <w:rFonts w:hint="eastAsia" w:ascii="仿宋_GB2312" w:hAnsi="仿宋_GB2312" w:eastAsia="仿宋_GB2312" w:cs="仿宋_GB2312"/>
                <w:sz w:val="18"/>
                <w:szCs w:val="18"/>
                <w:highlight w:val="none"/>
                <w:vertAlign w:val="baseline"/>
                <w:lang w:val="en-US" w:eastAsia="zh-CN"/>
              </w:rPr>
            </w:pPr>
          </w:p>
        </w:tc>
        <w:tc>
          <w:tcPr>
            <w:tcW w:w="1093" w:type="dxa"/>
            <w:noWrap w:val="0"/>
            <w:vAlign w:val="center"/>
          </w:tcPr>
          <w:p w14:paraId="06D04AA4">
            <w:pPr>
              <w:jc w:val="both"/>
              <w:rPr>
                <w:rFonts w:hint="eastAsia" w:ascii="仿宋_GB2312" w:hAnsi="仿宋_GB2312" w:eastAsia="仿宋_GB2312" w:cs="仿宋_GB2312"/>
                <w:sz w:val="18"/>
                <w:szCs w:val="18"/>
                <w:highlight w:val="none"/>
                <w:vertAlign w:val="baseline"/>
                <w:lang w:val="en-US" w:eastAsia="zh-CN"/>
              </w:rPr>
            </w:pPr>
          </w:p>
        </w:tc>
        <w:tc>
          <w:tcPr>
            <w:tcW w:w="1562" w:type="dxa"/>
            <w:noWrap w:val="0"/>
            <w:vAlign w:val="center"/>
          </w:tcPr>
          <w:p w14:paraId="5F2424DD">
            <w:pPr>
              <w:jc w:val="both"/>
              <w:rPr>
                <w:rFonts w:hint="eastAsia" w:ascii="仿宋_GB2312" w:hAnsi="仿宋_GB2312" w:eastAsia="仿宋_GB2312" w:cs="仿宋_GB2312"/>
                <w:sz w:val="18"/>
                <w:szCs w:val="18"/>
                <w:highlight w:val="none"/>
                <w:vertAlign w:val="baseline"/>
                <w:lang w:val="en-US" w:eastAsia="zh-CN"/>
              </w:rPr>
            </w:pPr>
          </w:p>
        </w:tc>
      </w:tr>
      <w:tr w14:paraId="3AB3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50DE4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3</w:t>
            </w:r>
          </w:p>
        </w:tc>
        <w:tc>
          <w:tcPr>
            <w:tcW w:w="2033" w:type="dxa"/>
            <w:noWrap w:val="0"/>
            <w:vAlign w:val="center"/>
          </w:tcPr>
          <w:p w14:paraId="021EE2D0">
            <w:pPr>
              <w:jc w:val="both"/>
              <w:rPr>
                <w:highlight w:val="none"/>
              </w:rPr>
            </w:pPr>
          </w:p>
        </w:tc>
        <w:tc>
          <w:tcPr>
            <w:tcW w:w="760" w:type="dxa"/>
            <w:noWrap w:val="0"/>
            <w:vAlign w:val="center"/>
          </w:tcPr>
          <w:p w14:paraId="5807ED0B">
            <w:pPr>
              <w:jc w:val="both"/>
              <w:rPr>
                <w:rFonts w:hint="eastAsia" w:ascii="仿宋_GB2312" w:hAnsi="仿宋_GB2312" w:eastAsia="仿宋_GB2312" w:cs="仿宋_GB2312"/>
                <w:sz w:val="18"/>
                <w:szCs w:val="18"/>
                <w:highlight w:val="none"/>
                <w:vertAlign w:val="baseline"/>
                <w:lang w:val="en-US" w:eastAsia="zh-CN"/>
              </w:rPr>
            </w:pPr>
          </w:p>
        </w:tc>
        <w:tc>
          <w:tcPr>
            <w:tcW w:w="686" w:type="dxa"/>
            <w:noWrap w:val="0"/>
            <w:vAlign w:val="center"/>
          </w:tcPr>
          <w:p w14:paraId="598A892C">
            <w:pPr>
              <w:jc w:val="center"/>
              <w:rPr>
                <w:rFonts w:hint="eastAsia" w:ascii="仿宋_GB2312" w:hAnsi="仿宋_GB2312" w:eastAsia="仿宋_GB2312" w:cs="仿宋_GB2312"/>
                <w:sz w:val="18"/>
                <w:szCs w:val="18"/>
                <w:highlight w:val="none"/>
                <w:vertAlign w:val="baseline"/>
                <w:lang w:val="en-US" w:eastAsia="zh-CN"/>
              </w:rPr>
            </w:pPr>
          </w:p>
        </w:tc>
        <w:tc>
          <w:tcPr>
            <w:tcW w:w="1974" w:type="dxa"/>
            <w:noWrap w:val="0"/>
            <w:vAlign w:val="center"/>
          </w:tcPr>
          <w:p w14:paraId="5FD24CD9">
            <w:pPr>
              <w:jc w:val="both"/>
              <w:rPr>
                <w:rFonts w:hint="eastAsia" w:ascii="仿宋_GB2312" w:hAnsi="仿宋_GB2312" w:eastAsia="仿宋_GB2312" w:cs="仿宋_GB2312"/>
                <w:sz w:val="18"/>
                <w:szCs w:val="18"/>
                <w:highlight w:val="none"/>
                <w:vertAlign w:val="baseline"/>
                <w:lang w:val="en-US" w:eastAsia="zh-CN"/>
              </w:rPr>
            </w:pPr>
          </w:p>
        </w:tc>
        <w:tc>
          <w:tcPr>
            <w:tcW w:w="946" w:type="dxa"/>
            <w:noWrap w:val="0"/>
            <w:vAlign w:val="center"/>
          </w:tcPr>
          <w:p w14:paraId="58946B57">
            <w:pPr>
              <w:jc w:val="both"/>
              <w:rPr>
                <w:rFonts w:hint="eastAsia" w:ascii="仿宋_GB2312" w:hAnsi="仿宋_GB2312" w:eastAsia="仿宋_GB2312" w:cs="仿宋_GB2312"/>
                <w:sz w:val="18"/>
                <w:szCs w:val="18"/>
                <w:highlight w:val="none"/>
                <w:vertAlign w:val="baseline"/>
                <w:lang w:val="en-US" w:eastAsia="zh-CN"/>
              </w:rPr>
            </w:pPr>
          </w:p>
        </w:tc>
        <w:tc>
          <w:tcPr>
            <w:tcW w:w="1840" w:type="dxa"/>
            <w:noWrap w:val="0"/>
            <w:vAlign w:val="center"/>
          </w:tcPr>
          <w:p w14:paraId="1E6348F3">
            <w:pPr>
              <w:jc w:val="both"/>
              <w:rPr>
                <w:rFonts w:hint="eastAsia" w:ascii="仿宋_GB2312" w:hAnsi="仿宋_GB2312" w:eastAsia="仿宋_GB2312" w:cs="仿宋_GB2312"/>
                <w:sz w:val="18"/>
                <w:szCs w:val="18"/>
                <w:highlight w:val="none"/>
                <w:vertAlign w:val="baseline"/>
                <w:lang w:val="en-US" w:eastAsia="zh-CN"/>
              </w:rPr>
            </w:pPr>
          </w:p>
        </w:tc>
        <w:tc>
          <w:tcPr>
            <w:tcW w:w="1746" w:type="dxa"/>
            <w:noWrap w:val="0"/>
            <w:vAlign w:val="center"/>
          </w:tcPr>
          <w:p w14:paraId="1309F132">
            <w:pPr>
              <w:jc w:val="both"/>
              <w:rPr>
                <w:rFonts w:hint="eastAsia" w:ascii="仿宋_GB2312" w:hAnsi="仿宋_GB2312" w:eastAsia="仿宋_GB2312" w:cs="仿宋_GB2312"/>
                <w:sz w:val="18"/>
                <w:szCs w:val="18"/>
                <w:highlight w:val="none"/>
                <w:vertAlign w:val="baseline"/>
                <w:lang w:val="en-US" w:eastAsia="zh-CN"/>
              </w:rPr>
            </w:pPr>
          </w:p>
        </w:tc>
        <w:tc>
          <w:tcPr>
            <w:tcW w:w="1255" w:type="dxa"/>
            <w:noWrap w:val="0"/>
            <w:vAlign w:val="center"/>
          </w:tcPr>
          <w:p w14:paraId="3216B191">
            <w:pPr>
              <w:jc w:val="both"/>
              <w:rPr>
                <w:rFonts w:hint="eastAsia" w:ascii="仿宋_GB2312" w:hAnsi="仿宋_GB2312" w:eastAsia="仿宋_GB2312" w:cs="仿宋_GB2312"/>
                <w:sz w:val="18"/>
                <w:szCs w:val="18"/>
                <w:highlight w:val="none"/>
                <w:vertAlign w:val="baseline"/>
                <w:lang w:val="en-US" w:eastAsia="zh-CN"/>
              </w:rPr>
            </w:pPr>
          </w:p>
        </w:tc>
        <w:tc>
          <w:tcPr>
            <w:tcW w:w="1614" w:type="dxa"/>
            <w:noWrap w:val="0"/>
            <w:vAlign w:val="center"/>
          </w:tcPr>
          <w:p w14:paraId="3FCC358D">
            <w:pPr>
              <w:jc w:val="both"/>
              <w:rPr>
                <w:rFonts w:hint="eastAsia" w:ascii="仿宋_GB2312" w:hAnsi="仿宋_GB2312" w:eastAsia="仿宋_GB2312" w:cs="仿宋_GB2312"/>
                <w:sz w:val="18"/>
                <w:szCs w:val="18"/>
                <w:highlight w:val="none"/>
                <w:vertAlign w:val="baseline"/>
                <w:lang w:val="en-US" w:eastAsia="zh-CN"/>
              </w:rPr>
            </w:pPr>
          </w:p>
        </w:tc>
        <w:tc>
          <w:tcPr>
            <w:tcW w:w="1093" w:type="dxa"/>
            <w:noWrap w:val="0"/>
            <w:vAlign w:val="center"/>
          </w:tcPr>
          <w:p w14:paraId="35992660">
            <w:pPr>
              <w:jc w:val="both"/>
              <w:rPr>
                <w:rFonts w:hint="eastAsia" w:ascii="仿宋_GB2312" w:hAnsi="仿宋_GB2312" w:eastAsia="仿宋_GB2312" w:cs="仿宋_GB2312"/>
                <w:sz w:val="18"/>
                <w:szCs w:val="18"/>
                <w:highlight w:val="none"/>
                <w:vertAlign w:val="baseline"/>
                <w:lang w:val="en-US" w:eastAsia="zh-CN"/>
              </w:rPr>
            </w:pPr>
          </w:p>
        </w:tc>
        <w:tc>
          <w:tcPr>
            <w:tcW w:w="1562" w:type="dxa"/>
            <w:noWrap w:val="0"/>
            <w:vAlign w:val="center"/>
          </w:tcPr>
          <w:p w14:paraId="6104F557">
            <w:pPr>
              <w:jc w:val="both"/>
              <w:rPr>
                <w:rFonts w:hint="eastAsia" w:ascii="仿宋_GB2312" w:hAnsi="仿宋_GB2312" w:eastAsia="仿宋_GB2312" w:cs="仿宋_GB2312"/>
                <w:sz w:val="18"/>
                <w:szCs w:val="18"/>
                <w:highlight w:val="none"/>
                <w:vertAlign w:val="baseline"/>
                <w:lang w:val="en-US" w:eastAsia="zh-CN"/>
              </w:rPr>
            </w:pPr>
          </w:p>
        </w:tc>
      </w:tr>
      <w:tr w14:paraId="425D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6DFEE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4</w:t>
            </w:r>
          </w:p>
        </w:tc>
        <w:tc>
          <w:tcPr>
            <w:tcW w:w="2033" w:type="dxa"/>
            <w:noWrap w:val="0"/>
            <w:vAlign w:val="center"/>
          </w:tcPr>
          <w:p w14:paraId="43DFEB57">
            <w:pPr>
              <w:jc w:val="both"/>
              <w:rPr>
                <w:highlight w:val="none"/>
              </w:rPr>
            </w:pPr>
          </w:p>
        </w:tc>
        <w:tc>
          <w:tcPr>
            <w:tcW w:w="760" w:type="dxa"/>
            <w:noWrap w:val="0"/>
            <w:vAlign w:val="center"/>
          </w:tcPr>
          <w:p w14:paraId="2B652439">
            <w:pPr>
              <w:jc w:val="both"/>
              <w:rPr>
                <w:rFonts w:hint="eastAsia" w:ascii="仿宋_GB2312" w:hAnsi="仿宋_GB2312" w:eastAsia="仿宋_GB2312" w:cs="仿宋_GB2312"/>
                <w:sz w:val="18"/>
                <w:szCs w:val="18"/>
                <w:highlight w:val="none"/>
                <w:vertAlign w:val="baseline"/>
                <w:lang w:val="en-US" w:eastAsia="zh-CN"/>
              </w:rPr>
            </w:pPr>
          </w:p>
        </w:tc>
        <w:tc>
          <w:tcPr>
            <w:tcW w:w="686" w:type="dxa"/>
            <w:noWrap w:val="0"/>
            <w:vAlign w:val="center"/>
          </w:tcPr>
          <w:p w14:paraId="45035B3E">
            <w:pPr>
              <w:jc w:val="center"/>
              <w:rPr>
                <w:rFonts w:hint="eastAsia" w:ascii="仿宋_GB2312" w:hAnsi="仿宋_GB2312" w:eastAsia="仿宋_GB2312" w:cs="仿宋_GB2312"/>
                <w:sz w:val="18"/>
                <w:szCs w:val="18"/>
                <w:highlight w:val="none"/>
                <w:vertAlign w:val="baseline"/>
                <w:lang w:val="en-US" w:eastAsia="zh-CN"/>
              </w:rPr>
            </w:pPr>
          </w:p>
        </w:tc>
        <w:tc>
          <w:tcPr>
            <w:tcW w:w="1974" w:type="dxa"/>
            <w:noWrap w:val="0"/>
            <w:vAlign w:val="center"/>
          </w:tcPr>
          <w:p w14:paraId="03CA9550">
            <w:pPr>
              <w:jc w:val="both"/>
              <w:rPr>
                <w:rFonts w:hint="eastAsia" w:ascii="仿宋_GB2312" w:hAnsi="仿宋_GB2312" w:eastAsia="仿宋_GB2312" w:cs="仿宋_GB2312"/>
                <w:sz w:val="18"/>
                <w:szCs w:val="18"/>
                <w:highlight w:val="none"/>
                <w:vertAlign w:val="baseline"/>
                <w:lang w:val="en-US" w:eastAsia="zh-CN"/>
              </w:rPr>
            </w:pPr>
          </w:p>
        </w:tc>
        <w:tc>
          <w:tcPr>
            <w:tcW w:w="946" w:type="dxa"/>
            <w:noWrap w:val="0"/>
            <w:vAlign w:val="center"/>
          </w:tcPr>
          <w:p w14:paraId="6F3B35AE">
            <w:pPr>
              <w:jc w:val="both"/>
              <w:rPr>
                <w:rFonts w:hint="eastAsia" w:ascii="仿宋_GB2312" w:hAnsi="仿宋_GB2312" w:eastAsia="仿宋_GB2312" w:cs="仿宋_GB2312"/>
                <w:sz w:val="18"/>
                <w:szCs w:val="18"/>
                <w:highlight w:val="none"/>
                <w:vertAlign w:val="baseline"/>
                <w:lang w:val="en-US" w:eastAsia="zh-CN"/>
              </w:rPr>
            </w:pPr>
          </w:p>
        </w:tc>
        <w:tc>
          <w:tcPr>
            <w:tcW w:w="1840" w:type="dxa"/>
            <w:noWrap w:val="0"/>
            <w:vAlign w:val="center"/>
          </w:tcPr>
          <w:p w14:paraId="20D21563">
            <w:pPr>
              <w:jc w:val="both"/>
              <w:rPr>
                <w:rFonts w:hint="eastAsia" w:ascii="仿宋_GB2312" w:hAnsi="仿宋_GB2312" w:eastAsia="仿宋_GB2312" w:cs="仿宋_GB2312"/>
                <w:sz w:val="18"/>
                <w:szCs w:val="18"/>
                <w:highlight w:val="none"/>
                <w:vertAlign w:val="baseline"/>
                <w:lang w:val="en-US" w:eastAsia="zh-CN"/>
              </w:rPr>
            </w:pPr>
          </w:p>
        </w:tc>
        <w:tc>
          <w:tcPr>
            <w:tcW w:w="1746" w:type="dxa"/>
            <w:noWrap w:val="0"/>
            <w:vAlign w:val="center"/>
          </w:tcPr>
          <w:p w14:paraId="5EFC28CD">
            <w:pPr>
              <w:jc w:val="both"/>
              <w:rPr>
                <w:rFonts w:hint="eastAsia" w:ascii="仿宋_GB2312" w:hAnsi="仿宋_GB2312" w:eastAsia="仿宋_GB2312" w:cs="仿宋_GB2312"/>
                <w:sz w:val="18"/>
                <w:szCs w:val="18"/>
                <w:highlight w:val="none"/>
                <w:vertAlign w:val="baseline"/>
                <w:lang w:val="en-US" w:eastAsia="zh-CN"/>
              </w:rPr>
            </w:pPr>
          </w:p>
        </w:tc>
        <w:tc>
          <w:tcPr>
            <w:tcW w:w="1255" w:type="dxa"/>
            <w:noWrap w:val="0"/>
            <w:vAlign w:val="center"/>
          </w:tcPr>
          <w:p w14:paraId="321BA7DE">
            <w:pPr>
              <w:jc w:val="both"/>
              <w:rPr>
                <w:rFonts w:hint="eastAsia" w:ascii="仿宋_GB2312" w:hAnsi="仿宋_GB2312" w:eastAsia="仿宋_GB2312" w:cs="仿宋_GB2312"/>
                <w:sz w:val="18"/>
                <w:szCs w:val="18"/>
                <w:highlight w:val="none"/>
                <w:vertAlign w:val="baseline"/>
                <w:lang w:val="en-US" w:eastAsia="zh-CN"/>
              </w:rPr>
            </w:pPr>
          </w:p>
        </w:tc>
        <w:tc>
          <w:tcPr>
            <w:tcW w:w="1614" w:type="dxa"/>
            <w:noWrap w:val="0"/>
            <w:vAlign w:val="center"/>
          </w:tcPr>
          <w:p w14:paraId="5EDDF226">
            <w:pPr>
              <w:jc w:val="both"/>
              <w:rPr>
                <w:rFonts w:hint="eastAsia" w:ascii="仿宋_GB2312" w:hAnsi="仿宋_GB2312" w:eastAsia="仿宋_GB2312" w:cs="仿宋_GB2312"/>
                <w:sz w:val="18"/>
                <w:szCs w:val="18"/>
                <w:highlight w:val="none"/>
                <w:vertAlign w:val="baseline"/>
                <w:lang w:val="en-US" w:eastAsia="zh-CN"/>
              </w:rPr>
            </w:pPr>
          </w:p>
        </w:tc>
        <w:tc>
          <w:tcPr>
            <w:tcW w:w="1093" w:type="dxa"/>
            <w:noWrap w:val="0"/>
            <w:vAlign w:val="center"/>
          </w:tcPr>
          <w:p w14:paraId="2F2819F1">
            <w:pPr>
              <w:jc w:val="both"/>
              <w:rPr>
                <w:rFonts w:hint="eastAsia" w:ascii="仿宋_GB2312" w:hAnsi="仿宋_GB2312" w:eastAsia="仿宋_GB2312" w:cs="仿宋_GB2312"/>
                <w:sz w:val="18"/>
                <w:szCs w:val="18"/>
                <w:highlight w:val="none"/>
                <w:vertAlign w:val="baseline"/>
                <w:lang w:val="en-US" w:eastAsia="zh-CN"/>
              </w:rPr>
            </w:pPr>
          </w:p>
        </w:tc>
        <w:tc>
          <w:tcPr>
            <w:tcW w:w="1562" w:type="dxa"/>
            <w:noWrap w:val="0"/>
            <w:vAlign w:val="center"/>
          </w:tcPr>
          <w:p w14:paraId="0DE8C0F8">
            <w:pPr>
              <w:jc w:val="both"/>
              <w:rPr>
                <w:rFonts w:hint="eastAsia" w:ascii="仿宋_GB2312" w:hAnsi="仿宋_GB2312" w:eastAsia="仿宋_GB2312" w:cs="仿宋_GB2312"/>
                <w:sz w:val="18"/>
                <w:szCs w:val="18"/>
                <w:highlight w:val="none"/>
                <w:vertAlign w:val="baseline"/>
                <w:lang w:val="en-US" w:eastAsia="zh-CN"/>
              </w:rPr>
            </w:pPr>
          </w:p>
        </w:tc>
      </w:tr>
      <w:tr w14:paraId="7E07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BC380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5</w:t>
            </w:r>
          </w:p>
        </w:tc>
        <w:tc>
          <w:tcPr>
            <w:tcW w:w="2033" w:type="dxa"/>
            <w:noWrap w:val="0"/>
            <w:vAlign w:val="center"/>
          </w:tcPr>
          <w:p w14:paraId="476C85DD">
            <w:pPr>
              <w:jc w:val="both"/>
              <w:rPr>
                <w:highlight w:val="none"/>
              </w:rPr>
            </w:pPr>
          </w:p>
        </w:tc>
        <w:tc>
          <w:tcPr>
            <w:tcW w:w="760" w:type="dxa"/>
            <w:noWrap w:val="0"/>
            <w:vAlign w:val="center"/>
          </w:tcPr>
          <w:p w14:paraId="1BA6F9BC">
            <w:pPr>
              <w:jc w:val="both"/>
              <w:rPr>
                <w:rFonts w:hint="eastAsia" w:ascii="仿宋_GB2312" w:hAnsi="仿宋_GB2312" w:eastAsia="仿宋_GB2312" w:cs="仿宋_GB2312"/>
                <w:sz w:val="18"/>
                <w:szCs w:val="18"/>
                <w:highlight w:val="none"/>
                <w:vertAlign w:val="baseline"/>
                <w:lang w:val="en-US" w:eastAsia="zh-CN"/>
              </w:rPr>
            </w:pPr>
          </w:p>
        </w:tc>
        <w:tc>
          <w:tcPr>
            <w:tcW w:w="686" w:type="dxa"/>
            <w:noWrap w:val="0"/>
            <w:vAlign w:val="center"/>
          </w:tcPr>
          <w:p w14:paraId="5DB41E90">
            <w:pPr>
              <w:jc w:val="center"/>
              <w:rPr>
                <w:rFonts w:hint="eastAsia" w:ascii="仿宋_GB2312" w:hAnsi="仿宋_GB2312" w:eastAsia="仿宋_GB2312" w:cs="仿宋_GB2312"/>
                <w:sz w:val="18"/>
                <w:szCs w:val="18"/>
                <w:highlight w:val="none"/>
                <w:vertAlign w:val="baseline"/>
                <w:lang w:val="en-US" w:eastAsia="zh-CN"/>
              </w:rPr>
            </w:pPr>
          </w:p>
        </w:tc>
        <w:tc>
          <w:tcPr>
            <w:tcW w:w="1974" w:type="dxa"/>
            <w:noWrap w:val="0"/>
            <w:vAlign w:val="center"/>
          </w:tcPr>
          <w:p w14:paraId="042A9038">
            <w:pPr>
              <w:jc w:val="both"/>
              <w:rPr>
                <w:rFonts w:hint="eastAsia" w:ascii="仿宋_GB2312" w:hAnsi="仿宋_GB2312" w:eastAsia="仿宋_GB2312" w:cs="仿宋_GB2312"/>
                <w:sz w:val="18"/>
                <w:szCs w:val="18"/>
                <w:highlight w:val="none"/>
                <w:vertAlign w:val="baseline"/>
                <w:lang w:val="en-US" w:eastAsia="zh-CN"/>
              </w:rPr>
            </w:pPr>
          </w:p>
        </w:tc>
        <w:tc>
          <w:tcPr>
            <w:tcW w:w="946" w:type="dxa"/>
            <w:noWrap w:val="0"/>
            <w:vAlign w:val="center"/>
          </w:tcPr>
          <w:p w14:paraId="7B211914">
            <w:pPr>
              <w:jc w:val="both"/>
              <w:rPr>
                <w:rFonts w:hint="eastAsia" w:ascii="仿宋_GB2312" w:hAnsi="仿宋_GB2312" w:eastAsia="仿宋_GB2312" w:cs="仿宋_GB2312"/>
                <w:sz w:val="18"/>
                <w:szCs w:val="18"/>
                <w:highlight w:val="none"/>
                <w:vertAlign w:val="baseline"/>
                <w:lang w:val="en-US" w:eastAsia="zh-CN"/>
              </w:rPr>
            </w:pPr>
          </w:p>
        </w:tc>
        <w:tc>
          <w:tcPr>
            <w:tcW w:w="1840" w:type="dxa"/>
            <w:noWrap w:val="0"/>
            <w:vAlign w:val="center"/>
          </w:tcPr>
          <w:p w14:paraId="707DBB95">
            <w:pPr>
              <w:jc w:val="both"/>
              <w:rPr>
                <w:rFonts w:hint="eastAsia" w:ascii="仿宋_GB2312" w:hAnsi="仿宋_GB2312" w:eastAsia="仿宋_GB2312" w:cs="仿宋_GB2312"/>
                <w:sz w:val="18"/>
                <w:szCs w:val="18"/>
                <w:highlight w:val="none"/>
                <w:vertAlign w:val="baseline"/>
                <w:lang w:val="en-US" w:eastAsia="zh-CN"/>
              </w:rPr>
            </w:pPr>
          </w:p>
        </w:tc>
        <w:tc>
          <w:tcPr>
            <w:tcW w:w="1746" w:type="dxa"/>
            <w:noWrap w:val="0"/>
            <w:vAlign w:val="center"/>
          </w:tcPr>
          <w:p w14:paraId="3F459D05">
            <w:pPr>
              <w:jc w:val="both"/>
              <w:rPr>
                <w:rFonts w:hint="eastAsia" w:ascii="仿宋_GB2312" w:hAnsi="仿宋_GB2312" w:eastAsia="仿宋_GB2312" w:cs="仿宋_GB2312"/>
                <w:sz w:val="18"/>
                <w:szCs w:val="18"/>
                <w:highlight w:val="none"/>
                <w:vertAlign w:val="baseline"/>
                <w:lang w:val="en-US" w:eastAsia="zh-CN"/>
              </w:rPr>
            </w:pPr>
          </w:p>
        </w:tc>
        <w:tc>
          <w:tcPr>
            <w:tcW w:w="1255" w:type="dxa"/>
            <w:noWrap w:val="0"/>
            <w:vAlign w:val="center"/>
          </w:tcPr>
          <w:p w14:paraId="3248C235">
            <w:pPr>
              <w:jc w:val="both"/>
              <w:rPr>
                <w:rFonts w:hint="eastAsia" w:ascii="仿宋_GB2312" w:hAnsi="仿宋_GB2312" w:eastAsia="仿宋_GB2312" w:cs="仿宋_GB2312"/>
                <w:sz w:val="18"/>
                <w:szCs w:val="18"/>
                <w:highlight w:val="none"/>
                <w:vertAlign w:val="baseline"/>
                <w:lang w:val="en-US" w:eastAsia="zh-CN"/>
              </w:rPr>
            </w:pPr>
          </w:p>
        </w:tc>
        <w:tc>
          <w:tcPr>
            <w:tcW w:w="1614" w:type="dxa"/>
            <w:noWrap w:val="0"/>
            <w:vAlign w:val="center"/>
          </w:tcPr>
          <w:p w14:paraId="189956E4">
            <w:pPr>
              <w:jc w:val="both"/>
              <w:rPr>
                <w:rFonts w:hint="eastAsia" w:ascii="仿宋_GB2312" w:hAnsi="仿宋_GB2312" w:eastAsia="仿宋_GB2312" w:cs="仿宋_GB2312"/>
                <w:sz w:val="18"/>
                <w:szCs w:val="18"/>
                <w:highlight w:val="none"/>
                <w:vertAlign w:val="baseline"/>
                <w:lang w:val="en-US" w:eastAsia="zh-CN"/>
              </w:rPr>
            </w:pPr>
          </w:p>
        </w:tc>
        <w:tc>
          <w:tcPr>
            <w:tcW w:w="1093" w:type="dxa"/>
            <w:noWrap w:val="0"/>
            <w:vAlign w:val="center"/>
          </w:tcPr>
          <w:p w14:paraId="755F4FA2">
            <w:pPr>
              <w:jc w:val="both"/>
              <w:rPr>
                <w:rFonts w:hint="eastAsia" w:ascii="仿宋_GB2312" w:hAnsi="仿宋_GB2312" w:eastAsia="仿宋_GB2312" w:cs="仿宋_GB2312"/>
                <w:sz w:val="18"/>
                <w:szCs w:val="18"/>
                <w:highlight w:val="none"/>
                <w:vertAlign w:val="baseline"/>
                <w:lang w:val="en-US" w:eastAsia="zh-CN"/>
              </w:rPr>
            </w:pPr>
          </w:p>
        </w:tc>
        <w:tc>
          <w:tcPr>
            <w:tcW w:w="1562" w:type="dxa"/>
            <w:noWrap w:val="0"/>
            <w:vAlign w:val="center"/>
          </w:tcPr>
          <w:p w14:paraId="7303A445">
            <w:pPr>
              <w:jc w:val="both"/>
              <w:rPr>
                <w:rFonts w:hint="eastAsia" w:ascii="仿宋_GB2312" w:hAnsi="仿宋_GB2312" w:eastAsia="仿宋_GB2312" w:cs="仿宋_GB2312"/>
                <w:sz w:val="18"/>
                <w:szCs w:val="18"/>
                <w:highlight w:val="none"/>
                <w:vertAlign w:val="baseline"/>
                <w:lang w:val="en-US" w:eastAsia="zh-CN"/>
              </w:rPr>
            </w:pPr>
          </w:p>
        </w:tc>
      </w:tr>
      <w:tr w14:paraId="2BD1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649B83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sz w:val="18"/>
                <w:szCs w:val="18"/>
                <w:highlight w:val="none"/>
                <w:vertAlign w:val="baseline"/>
                <w:lang w:val="en-US" w:eastAsia="zh-CN"/>
              </w:rPr>
            </w:pPr>
            <w:r>
              <w:rPr>
                <w:rFonts w:hint="eastAsia" w:ascii="仿宋_GB2312" w:hAnsi="仿宋_GB2312" w:eastAsia="仿宋_GB2312" w:cs="仿宋_GB2312"/>
                <w:sz w:val="18"/>
                <w:szCs w:val="18"/>
                <w:highlight w:val="none"/>
                <w:vertAlign w:val="baseline"/>
                <w:lang w:val="en-US" w:eastAsia="zh-CN"/>
              </w:rPr>
              <w:t>6</w:t>
            </w:r>
          </w:p>
        </w:tc>
        <w:tc>
          <w:tcPr>
            <w:tcW w:w="2033" w:type="dxa"/>
            <w:noWrap w:val="0"/>
            <w:vAlign w:val="center"/>
          </w:tcPr>
          <w:p w14:paraId="2A60889E">
            <w:pPr>
              <w:jc w:val="both"/>
              <w:rPr>
                <w:highlight w:val="none"/>
              </w:rPr>
            </w:pPr>
          </w:p>
        </w:tc>
        <w:tc>
          <w:tcPr>
            <w:tcW w:w="760" w:type="dxa"/>
            <w:noWrap w:val="0"/>
            <w:vAlign w:val="center"/>
          </w:tcPr>
          <w:p w14:paraId="51E55FEF">
            <w:pPr>
              <w:jc w:val="both"/>
              <w:rPr>
                <w:rFonts w:hint="eastAsia" w:ascii="仿宋_GB2312" w:hAnsi="仿宋_GB2312" w:eastAsia="仿宋_GB2312" w:cs="仿宋_GB2312"/>
                <w:sz w:val="18"/>
                <w:szCs w:val="18"/>
                <w:highlight w:val="none"/>
                <w:vertAlign w:val="baseline"/>
                <w:lang w:val="en-US" w:eastAsia="zh-CN"/>
              </w:rPr>
            </w:pPr>
          </w:p>
        </w:tc>
        <w:tc>
          <w:tcPr>
            <w:tcW w:w="686" w:type="dxa"/>
            <w:noWrap w:val="0"/>
            <w:vAlign w:val="center"/>
          </w:tcPr>
          <w:p w14:paraId="453F6D9F">
            <w:pPr>
              <w:jc w:val="center"/>
              <w:rPr>
                <w:rFonts w:hint="eastAsia" w:ascii="仿宋_GB2312" w:hAnsi="仿宋_GB2312" w:eastAsia="仿宋_GB2312" w:cs="仿宋_GB2312"/>
                <w:sz w:val="18"/>
                <w:szCs w:val="18"/>
                <w:highlight w:val="none"/>
                <w:vertAlign w:val="baseline"/>
                <w:lang w:val="en-US" w:eastAsia="zh-CN"/>
              </w:rPr>
            </w:pPr>
          </w:p>
        </w:tc>
        <w:tc>
          <w:tcPr>
            <w:tcW w:w="1974" w:type="dxa"/>
            <w:noWrap w:val="0"/>
            <w:vAlign w:val="center"/>
          </w:tcPr>
          <w:p w14:paraId="6610D68C">
            <w:pPr>
              <w:jc w:val="both"/>
              <w:rPr>
                <w:rFonts w:hint="eastAsia" w:ascii="仿宋_GB2312" w:hAnsi="仿宋_GB2312" w:eastAsia="仿宋_GB2312" w:cs="仿宋_GB2312"/>
                <w:sz w:val="18"/>
                <w:szCs w:val="18"/>
                <w:highlight w:val="none"/>
                <w:vertAlign w:val="baseline"/>
                <w:lang w:val="en-US" w:eastAsia="zh-CN"/>
              </w:rPr>
            </w:pPr>
          </w:p>
        </w:tc>
        <w:tc>
          <w:tcPr>
            <w:tcW w:w="946" w:type="dxa"/>
            <w:noWrap w:val="0"/>
            <w:vAlign w:val="center"/>
          </w:tcPr>
          <w:p w14:paraId="2E646DBD">
            <w:pPr>
              <w:jc w:val="both"/>
              <w:rPr>
                <w:rFonts w:hint="eastAsia" w:ascii="仿宋_GB2312" w:hAnsi="仿宋_GB2312" w:eastAsia="仿宋_GB2312" w:cs="仿宋_GB2312"/>
                <w:sz w:val="18"/>
                <w:szCs w:val="18"/>
                <w:highlight w:val="none"/>
                <w:vertAlign w:val="baseline"/>
                <w:lang w:val="en-US" w:eastAsia="zh-CN"/>
              </w:rPr>
            </w:pPr>
          </w:p>
        </w:tc>
        <w:tc>
          <w:tcPr>
            <w:tcW w:w="1840" w:type="dxa"/>
            <w:noWrap w:val="0"/>
            <w:vAlign w:val="center"/>
          </w:tcPr>
          <w:p w14:paraId="3EAE541F">
            <w:pPr>
              <w:jc w:val="both"/>
              <w:rPr>
                <w:rFonts w:hint="eastAsia" w:ascii="仿宋_GB2312" w:hAnsi="仿宋_GB2312" w:eastAsia="仿宋_GB2312" w:cs="仿宋_GB2312"/>
                <w:sz w:val="18"/>
                <w:szCs w:val="18"/>
                <w:highlight w:val="none"/>
                <w:vertAlign w:val="baseline"/>
                <w:lang w:val="en-US" w:eastAsia="zh-CN"/>
              </w:rPr>
            </w:pPr>
          </w:p>
        </w:tc>
        <w:tc>
          <w:tcPr>
            <w:tcW w:w="1746" w:type="dxa"/>
            <w:noWrap w:val="0"/>
            <w:vAlign w:val="center"/>
          </w:tcPr>
          <w:p w14:paraId="2A3331E1">
            <w:pPr>
              <w:jc w:val="both"/>
              <w:rPr>
                <w:rFonts w:hint="eastAsia" w:ascii="仿宋_GB2312" w:hAnsi="仿宋_GB2312" w:eastAsia="仿宋_GB2312" w:cs="仿宋_GB2312"/>
                <w:sz w:val="18"/>
                <w:szCs w:val="18"/>
                <w:highlight w:val="none"/>
                <w:vertAlign w:val="baseline"/>
                <w:lang w:val="en-US" w:eastAsia="zh-CN"/>
              </w:rPr>
            </w:pPr>
          </w:p>
        </w:tc>
        <w:tc>
          <w:tcPr>
            <w:tcW w:w="1255" w:type="dxa"/>
            <w:noWrap w:val="0"/>
            <w:vAlign w:val="center"/>
          </w:tcPr>
          <w:p w14:paraId="6187CBF3">
            <w:pPr>
              <w:jc w:val="both"/>
              <w:rPr>
                <w:rFonts w:hint="eastAsia" w:ascii="仿宋_GB2312" w:hAnsi="仿宋_GB2312" w:eastAsia="仿宋_GB2312" w:cs="仿宋_GB2312"/>
                <w:sz w:val="18"/>
                <w:szCs w:val="18"/>
                <w:highlight w:val="none"/>
                <w:vertAlign w:val="baseline"/>
                <w:lang w:val="en-US" w:eastAsia="zh-CN"/>
              </w:rPr>
            </w:pPr>
          </w:p>
        </w:tc>
        <w:tc>
          <w:tcPr>
            <w:tcW w:w="1614" w:type="dxa"/>
            <w:noWrap w:val="0"/>
            <w:vAlign w:val="center"/>
          </w:tcPr>
          <w:p w14:paraId="5425A9AF">
            <w:pPr>
              <w:jc w:val="both"/>
              <w:rPr>
                <w:rFonts w:hint="eastAsia" w:ascii="仿宋_GB2312" w:hAnsi="仿宋_GB2312" w:eastAsia="仿宋_GB2312" w:cs="仿宋_GB2312"/>
                <w:sz w:val="18"/>
                <w:szCs w:val="18"/>
                <w:highlight w:val="none"/>
                <w:vertAlign w:val="baseline"/>
                <w:lang w:val="en-US" w:eastAsia="zh-CN"/>
              </w:rPr>
            </w:pPr>
          </w:p>
        </w:tc>
        <w:tc>
          <w:tcPr>
            <w:tcW w:w="1093" w:type="dxa"/>
            <w:noWrap w:val="0"/>
            <w:vAlign w:val="center"/>
          </w:tcPr>
          <w:p w14:paraId="1D68D10A">
            <w:pPr>
              <w:jc w:val="both"/>
              <w:rPr>
                <w:rFonts w:hint="eastAsia" w:ascii="仿宋_GB2312" w:hAnsi="仿宋_GB2312" w:eastAsia="仿宋_GB2312" w:cs="仿宋_GB2312"/>
                <w:sz w:val="18"/>
                <w:szCs w:val="18"/>
                <w:highlight w:val="none"/>
                <w:vertAlign w:val="baseline"/>
                <w:lang w:val="en-US" w:eastAsia="zh-CN"/>
              </w:rPr>
            </w:pPr>
          </w:p>
        </w:tc>
        <w:tc>
          <w:tcPr>
            <w:tcW w:w="1562" w:type="dxa"/>
            <w:noWrap w:val="0"/>
            <w:vAlign w:val="center"/>
          </w:tcPr>
          <w:p w14:paraId="7A474213">
            <w:pPr>
              <w:jc w:val="both"/>
              <w:rPr>
                <w:rFonts w:hint="eastAsia" w:ascii="仿宋_GB2312" w:hAnsi="仿宋_GB2312" w:eastAsia="仿宋_GB2312" w:cs="仿宋_GB2312"/>
                <w:sz w:val="18"/>
                <w:szCs w:val="18"/>
                <w:highlight w:val="none"/>
                <w:vertAlign w:val="baseline"/>
                <w:lang w:val="en-US" w:eastAsia="zh-CN"/>
              </w:rPr>
            </w:pPr>
          </w:p>
        </w:tc>
      </w:tr>
    </w:tbl>
    <w:p w14:paraId="107C2F5F">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八、行政奖励（14项）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12"/>
        <w:gridCol w:w="675"/>
        <w:gridCol w:w="690"/>
        <w:gridCol w:w="1650"/>
        <w:gridCol w:w="585"/>
        <w:gridCol w:w="1125"/>
        <w:gridCol w:w="1620"/>
        <w:gridCol w:w="1575"/>
        <w:gridCol w:w="1950"/>
        <w:gridCol w:w="2055"/>
        <w:gridCol w:w="2972"/>
      </w:tblGrid>
      <w:tr w14:paraId="3C3E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2FA1C22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序号</w:t>
            </w:r>
          </w:p>
        </w:tc>
        <w:tc>
          <w:tcPr>
            <w:tcW w:w="612" w:type="dxa"/>
            <w:noWrap w:val="0"/>
            <w:vAlign w:val="center"/>
          </w:tcPr>
          <w:p w14:paraId="429503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w:t>
            </w:r>
          </w:p>
          <w:p w14:paraId="4218A9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auto"/>
                <w:highlight w:val="none"/>
              </w:rPr>
            </w:pPr>
            <w:r>
              <w:rPr>
                <w:rFonts w:hint="eastAsia" w:ascii="仿宋_GB2312" w:hAnsi="仿宋_GB2312" w:eastAsia="仿宋_GB2312" w:cs="仿宋_GB2312"/>
                <w:color w:val="auto"/>
                <w:sz w:val="18"/>
                <w:szCs w:val="18"/>
                <w:highlight w:val="none"/>
                <w:vertAlign w:val="baseline"/>
                <w:lang w:val="en-US" w:eastAsia="zh-CN"/>
              </w:rPr>
              <w:t>名称</w:t>
            </w:r>
          </w:p>
        </w:tc>
        <w:tc>
          <w:tcPr>
            <w:tcW w:w="675" w:type="dxa"/>
            <w:noWrap w:val="0"/>
            <w:vAlign w:val="center"/>
          </w:tcPr>
          <w:p w14:paraId="52536D9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子项</w:t>
            </w:r>
          </w:p>
          <w:p w14:paraId="20F02A3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名称</w:t>
            </w:r>
          </w:p>
        </w:tc>
        <w:tc>
          <w:tcPr>
            <w:tcW w:w="690" w:type="dxa"/>
            <w:noWrap w:val="0"/>
            <w:vAlign w:val="center"/>
          </w:tcPr>
          <w:p w14:paraId="09D930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基本编码</w:t>
            </w:r>
          </w:p>
        </w:tc>
        <w:tc>
          <w:tcPr>
            <w:tcW w:w="1650" w:type="dxa"/>
            <w:noWrap w:val="0"/>
            <w:vAlign w:val="center"/>
          </w:tcPr>
          <w:p w14:paraId="406A32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职权依据</w:t>
            </w:r>
          </w:p>
        </w:tc>
        <w:tc>
          <w:tcPr>
            <w:tcW w:w="585" w:type="dxa"/>
            <w:noWrap w:val="0"/>
            <w:vAlign w:val="center"/>
          </w:tcPr>
          <w:p w14:paraId="1EFC17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行使内容</w:t>
            </w:r>
          </w:p>
        </w:tc>
        <w:tc>
          <w:tcPr>
            <w:tcW w:w="1125" w:type="dxa"/>
            <w:noWrap w:val="0"/>
            <w:vAlign w:val="center"/>
          </w:tcPr>
          <w:p w14:paraId="497A0C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阶段事项</w:t>
            </w:r>
          </w:p>
        </w:tc>
        <w:tc>
          <w:tcPr>
            <w:tcW w:w="1620" w:type="dxa"/>
            <w:noWrap w:val="0"/>
            <w:vAlign w:val="center"/>
          </w:tcPr>
          <w:p w14:paraId="31D674E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责任事项依据</w:t>
            </w:r>
          </w:p>
        </w:tc>
        <w:tc>
          <w:tcPr>
            <w:tcW w:w="1575" w:type="dxa"/>
            <w:noWrap w:val="0"/>
            <w:vAlign w:val="center"/>
          </w:tcPr>
          <w:p w14:paraId="618AF8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w:t>
            </w:r>
          </w:p>
        </w:tc>
        <w:tc>
          <w:tcPr>
            <w:tcW w:w="1950" w:type="dxa"/>
            <w:noWrap w:val="0"/>
            <w:vAlign w:val="center"/>
          </w:tcPr>
          <w:p w14:paraId="0DD97F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追责情形依据</w:t>
            </w:r>
          </w:p>
        </w:tc>
        <w:tc>
          <w:tcPr>
            <w:tcW w:w="2055" w:type="dxa"/>
            <w:noWrap w:val="0"/>
            <w:vAlign w:val="center"/>
          </w:tcPr>
          <w:p w14:paraId="4B4448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w:t>
            </w:r>
          </w:p>
        </w:tc>
        <w:tc>
          <w:tcPr>
            <w:tcW w:w="2972" w:type="dxa"/>
            <w:noWrap w:val="0"/>
            <w:vAlign w:val="center"/>
          </w:tcPr>
          <w:p w14:paraId="169E88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担责方式依据</w:t>
            </w:r>
          </w:p>
        </w:tc>
      </w:tr>
      <w:tr w14:paraId="7399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1390FC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1</w:t>
            </w:r>
          </w:p>
        </w:tc>
        <w:tc>
          <w:tcPr>
            <w:tcW w:w="612" w:type="dxa"/>
            <w:noWrap w:val="0"/>
            <w:vAlign w:val="center"/>
          </w:tcPr>
          <w:p w14:paraId="159EBF2C">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对年度耕地保护目标责任考核的奖励</w:t>
            </w:r>
          </w:p>
        </w:tc>
        <w:tc>
          <w:tcPr>
            <w:tcW w:w="675" w:type="dxa"/>
            <w:noWrap w:val="0"/>
            <w:vAlign w:val="center"/>
          </w:tcPr>
          <w:p w14:paraId="59C71C32">
            <w:pPr>
              <w:jc w:val="both"/>
              <w:rPr>
                <w:rFonts w:hint="default" w:ascii="仿宋_GB2312" w:hAnsi="仿宋_GB2312" w:eastAsia="仿宋_GB2312" w:cs="仿宋_GB2312"/>
                <w:color w:val="auto"/>
                <w:sz w:val="18"/>
                <w:szCs w:val="18"/>
                <w:highlight w:val="none"/>
                <w:vertAlign w:val="baseline"/>
                <w:lang w:val="en-US" w:eastAsia="zh-CN"/>
              </w:rPr>
            </w:pPr>
          </w:p>
        </w:tc>
        <w:tc>
          <w:tcPr>
            <w:tcW w:w="690" w:type="dxa"/>
            <w:noWrap w:val="0"/>
            <w:vAlign w:val="center"/>
          </w:tcPr>
          <w:p w14:paraId="537525DC">
            <w:pPr>
              <w:adjustRightInd w:val="0"/>
              <w:snapToGrid w:val="0"/>
              <w:jc w:val="left"/>
              <w:rPr>
                <w:rFonts w:hint="default"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0812001000</w:t>
            </w:r>
          </w:p>
        </w:tc>
        <w:tc>
          <w:tcPr>
            <w:tcW w:w="1650" w:type="dxa"/>
            <w:noWrap w:val="0"/>
            <w:vAlign w:val="center"/>
          </w:tcPr>
          <w:p w14:paraId="148BEB8D">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【规范性文件】《国务院办公厅印发省级政府耕地保护责任目标考核办法》（国办发〔2018〕2号）</w:t>
            </w:r>
          </w:p>
          <w:p w14:paraId="1BCB6EB2">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第十七条  国务院根据考核结果，对认真履行省级政府耕地保护责任、成效突出的省份给予表扬；有关部门在安排年度土地利用计划、土地整治工作专项资金、耕地提质改造项目和耕地质量提升资金时予以倾斜。考核发现问题突出的省份要明确提出整改措施，限期进行整改；整改期间暂停该省、自治区、直辖市相关市、县农用地转用和土地征收审批。</w:t>
            </w:r>
          </w:p>
          <w:p w14:paraId="6FCEAFD7">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【规范性文件】《自治区人民政府办公厅关于印发宁夏回族自治区地级市政府耕地保护责任目标考核办法的通知》（宁政办发〔2018〕76号）</w:t>
            </w:r>
          </w:p>
          <w:p w14:paraId="1A1F3271">
            <w:pPr>
              <w:widowControl/>
              <w:numPr>
                <w:ilvl w:val="0"/>
                <w:numId w:val="8"/>
              </w:num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对地级市耕地保护责任目标年度考核和期末考核实行奖惩。</w:t>
            </w:r>
          </w:p>
          <w:p w14:paraId="579BC387">
            <w:pPr>
              <w:widowControl/>
              <w:numPr>
                <w:ilvl w:val="0"/>
                <w:numId w:val="8"/>
              </w:num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xml:space="preserve"> 自治区人民政府根据考核结果，对认真履行地级市政府耕地保护责任、成效突出的地级市给予表扬，有关部门在安排年度土地利用计划、土地整治工作专项资金、高标准农田建设补助资金、耕地质量提升项目资金时予以倾斜。考核发现问题突出的地级市要明确提出整改要求和时限，制定详细的整改措施并落实整改；整改期间暂停农用地转用和土地征收审批工作。</w:t>
            </w:r>
          </w:p>
        </w:tc>
        <w:tc>
          <w:tcPr>
            <w:tcW w:w="585" w:type="dxa"/>
            <w:noWrap w:val="0"/>
            <w:vAlign w:val="center"/>
          </w:tcPr>
          <w:p w14:paraId="270C384F">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部门审核、政府奖励</w:t>
            </w:r>
          </w:p>
        </w:tc>
        <w:tc>
          <w:tcPr>
            <w:tcW w:w="1125" w:type="dxa"/>
            <w:noWrap w:val="0"/>
            <w:vAlign w:val="center"/>
          </w:tcPr>
          <w:p w14:paraId="51ADF5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442FCDE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166782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0EFE46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11F9133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39CCED2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1、【规范性文件】《国务院办公厅印发省级政府耕地保护责任目标考核办法》（国办发〔2018〕2号）</w:t>
            </w:r>
          </w:p>
          <w:p w14:paraId="791310F6">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第十七条  国务院根据考核结果，对认真履行省级政府耕地保护责任、成效突出的省份给予表扬；有关部门在安排年度土地利用计划、土地整治工作专项资金、耕地提质改造项目和耕地质量提升资金时予以倾斜。考核发现问题突出的省份要明确提出整改措施，限期进行整改；整改期间暂停该省、自治区、直辖市相关市、县农用地转用和土地征收审批。</w:t>
            </w:r>
          </w:p>
          <w:p w14:paraId="3D60AB1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2、【规范性文件】《自治区人民政府办公厅关于印发宁夏回族自治区地级市政府耕地保护责任目标考核办法的通知》（宁政办发〔2018〕76号）</w:t>
            </w:r>
          </w:p>
          <w:p w14:paraId="1172E270">
            <w:pPr>
              <w:widowControl/>
              <w:numPr>
                <w:ilvl w:val="0"/>
                <w:numId w:val="8"/>
              </w:num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对地级市耕地保护责任目标年度考核和期末考核实行奖惩。</w:t>
            </w:r>
          </w:p>
          <w:p w14:paraId="1C4CBA3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 xml:space="preserve"> 自治区人民政府根据考核结果，对认真履行地级市政府耕地保护责任、成效突出的地级市给予表扬，有关部门在安排年度土地利用计划、土地整治工作专项资金、高标准农田建设补助资金、耕地质量提升项目资金时予以倾斜。考核发现问题突出的地级市要明确提出整改要求和时限，制定详细的整改措施并落实整改；整改期间暂停农用地转用和土地征收审批工作。</w:t>
            </w:r>
          </w:p>
        </w:tc>
        <w:tc>
          <w:tcPr>
            <w:tcW w:w="1575" w:type="dxa"/>
            <w:noWrap w:val="0"/>
            <w:vAlign w:val="center"/>
          </w:tcPr>
          <w:p w14:paraId="5F89E4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A42C9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25DE1B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7C50328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5F49A45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047F9205">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0E20A23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3174966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7B671D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4CDB16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590099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23E33C3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055" w:type="dxa"/>
            <w:noWrap w:val="0"/>
            <w:vAlign w:val="center"/>
          </w:tcPr>
          <w:p w14:paraId="64C0E2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C2D95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3C0287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465992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82892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56AE680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2972" w:type="dxa"/>
            <w:noWrap w:val="0"/>
            <w:vAlign w:val="center"/>
          </w:tcPr>
          <w:p w14:paraId="0A3859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E5D0A6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7BB8DC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20D499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3E6B6FD6">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4F60031">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884C7C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2FBA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7A926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2</w:t>
            </w:r>
          </w:p>
        </w:tc>
        <w:tc>
          <w:tcPr>
            <w:tcW w:w="612" w:type="dxa"/>
            <w:noWrap w:val="0"/>
            <w:vAlign w:val="center"/>
          </w:tcPr>
          <w:p w14:paraId="73991FAB">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对在基本农田保护工作中取得显著成绩的单位和个人的奖励</w:t>
            </w:r>
          </w:p>
        </w:tc>
        <w:tc>
          <w:tcPr>
            <w:tcW w:w="675" w:type="dxa"/>
            <w:noWrap w:val="0"/>
            <w:vAlign w:val="center"/>
          </w:tcPr>
          <w:p w14:paraId="2529C2AD">
            <w:pPr>
              <w:jc w:val="both"/>
              <w:rPr>
                <w:rFonts w:hint="eastAsia" w:ascii="仿宋_GB2312" w:hAnsi="仿宋_GB2312" w:eastAsia="仿宋_GB2312" w:cs="仿宋_GB2312"/>
                <w:color w:val="auto"/>
                <w:sz w:val="18"/>
                <w:szCs w:val="18"/>
                <w:highlight w:val="none"/>
                <w:vertAlign w:val="baseline"/>
                <w:lang w:val="en-US" w:eastAsia="zh-CN"/>
              </w:rPr>
            </w:pPr>
          </w:p>
        </w:tc>
        <w:tc>
          <w:tcPr>
            <w:tcW w:w="690" w:type="dxa"/>
            <w:noWrap w:val="0"/>
            <w:vAlign w:val="center"/>
          </w:tcPr>
          <w:p w14:paraId="2FAE6C99">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0812002000</w:t>
            </w:r>
          </w:p>
        </w:tc>
        <w:tc>
          <w:tcPr>
            <w:tcW w:w="1650" w:type="dxa"/>
            <w:noWrap w:val="0"/>
            <w:vAlign w:val="center"/>
          </w:tcPr>
          <w:p w14:paraId="0432A0FA">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【行政法规】《基本农田保护条例》（</w:t>
            </w:r>
            <w:r>
              <w:rPr>
                <w:rFonts w:hint="eastAsia" w:ascii="仿宋_GB2312" w:hAnsi="仿宋_GB2312" w:eastAsia="仿宋_GB2312" w:cs="仿宋_GB2312"/>
                <w:color w:val="auto"/>
                <w:sz w:val="18"/>
                <w:szCs w:val="18"/>
                <w:highlight w:val="none"/>
                <w:lang w:val="en-US" w:eastAsia="zh-CN"/>
              </w:rPr>
              <w:t>2011</w:t>
            </w:r>
            <w:r>
              <w:rPr>
                <w:rFonts w:hint="eastAsia" w:ascii="仿宋_GB2312" w:hAnsi="仿宋_GB2312" w:eastAsia="仿宋_GB2312" w:cs="仿宋_GB2312"/>
                <w:color w:val="auto"/>
                <w:sz w:val="18"/>
                <w:szCs w:val="18"/>
                <w:highlight w:val="none"/>
              </w:rPr>
              <w:t>）</w:t>
            </w:r>
          </w:p>
          <w:p w14:paraId="08A5DAC5">
            <w:pPr>
              <w:spacing w:line="270" w:lineRule="exact"/>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w:t>
            </w:r>
            <w:r>
              <w:rPr>
                <w:rFonts w:hint="eastAsia" w:ascii="仿宋_GB2312" w:hAnsi="仿宋_GB2312" w:eastAsia="仿宋_GB2312" w:cs="仿宋_GB2312"/>
                <w:color w:val="auto"/>
                <w:sz w:val="18"/>
                <w:szCs w:val="18"/>
                <w:highlight w:val="none"/>
                <w:lang w:eastAsia="zh-CN"/>
              </w:rPr>
              <w:t>七</w:t>
            </w:r>
            <w:r>
              <w:rPr>
                <w:rFonts w:hint="eastAsia" w:ascii="仿宋_GB2312" w:hAnsi="仿宋_GB2312" w:eastAsia="仿宋_GB2312" w:cs="仿宋_GB2312"/>
                <w:color w:val="auto"/>
                <w:sz w:val="18"/>
                <w:szCs w:val="18"/>
                <w:highlight w:val="none"/>
              </w:rPr>
              <w:t>条 国家对在基本农田保护工作中取得显著成绩的单位和个人，给予奖励。</w:t>
            </w:r>
          </w:p>
        </w:tc>
        <w:tc>
          <w:tcPr>
            <w:tcW w:w="585" w:type="dxa"/>
            <w:noWrap w:val="0"/>
            <w:vAlign w:val="center"/>
          </w:tcPr>
          <w:p w14:paraId="4D8A0D00">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部门审核、政府奖励</w:t>
            </w:r>
          </w:p>
        </w:tc>
        <w:tc>
          <w:tcPr>
            <w:tcW w:w="1125" w:type="dxa"/>
            <w:noWrap w:val="0"/>
            <w:vAlign w:val="center"/>
          </w:tcPr>
          <w:p w14:paraId="6FA7E0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098535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05A7AC2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02C9CE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37E4BBF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2F3FB741">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【行政法规】《基本农田保护条例》（</w:t>
            </w:r>
            <w:r>
              <w:rPr>
                <w:rFonts w:hint="eastAsia" w:ascii="仿宋_GB2312" w:hAnsi="仿宋_GB2312" w:eastAsia="仿宋_GB2312" w:cs="仿宋_GB2312"/>
                <w:color w:val="auto"/>
                <w:sz w:val="18"/>
                <w:szCs w:val="18"/>
                <w:highlight w:val="none"/>
                <w:lang w:val="en-US" w:eastAsia="zh-CN"/>
              </w:rPr>
              <w:t>2011</w:t>
            </w:r>
            <w:r>
              <w:rPr>
                <w:rFonts w:hint="eastAsia" w:ascii="仿宋_GB2312" w:hAnsi="仿宋_GB2312" w:eastAsia="仿宋_GB2312" w:cs="仿宋_GB2312"/>
                <w:color w:val="auto"/>
                <w:sz w:val="18"/>
                <w:szCs w:val="18"/>
                <w:highlight w:val="none"/>
              </w:rPr>
              <w:t>）</w:t>
            </w:r>
          </w:p>
          <w:p w14:paraId="72DB7DE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w:t>
            </w:r>
            <w:r>
              <w:rPr>
                <w:rFonts w:hint="eastAsia" w:ascii="仿宋_GB2312" w:hAnsi="仿宋_GB2312" w:eastAsia="仿宋_GB2312" w:cs="仿宋_GB2312"/>
                <w:color w:val="auto"/>
                <w:sz w:val="18"/>
                <w:szCs w:val="18"/>
                <w:highlight w:val="none"/>
                <w:lang w:eastAsia="zh-CN"/>
              </w:rPr>
              <w:t>七</w:t>
            </w:r>
            <w:r>
              <w:rPr>
                <w:rFonts w:hint="eastAsia" w:ascii="仿宋_GB2312" w:hAnsi="仿宋_GB2312" w:eastAsia="仿宋_GB2312" w:cs="仿宋_GB2312"/>
                <w:color w:val="auto"/>
                <w:sz w:val="18"/>
                <w:szCs w:val="18"/>
                <w:highlight w:val="none"/>
              </w:rPr>
              <w:t>条 国家对在基本农田保护工作中取得显著成绩的单位和个人，给予奖励。</w:t>
            </w:r>
          </w:p>
        </w:tc>
        <w:tc>
          <w:tcPr>
            <w:tcW w:w="1575" w:type="dxa"/>
            <w:noWrap w:val="0"/>
            <w:vAlign w:val="center"/>
          </w:tcPr>
          <w:p w14:paraId="563379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F46E86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2B5E490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28F10FE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5D4922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02C410D3">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75E64BC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020CBC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218F9A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245425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12ECC8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4160779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055" w:type="dxa"/>
            <w:noWrap w:val="0"/>
            <w:vAlign w:val="center"/>
          </w:tcPr>
          <w:p w14:paraId="4DDADEF7">
            <w:pPr>
              <w:shd w:val="clear" w:color="auto" w:fill="FFFFFF"/>
              <w:adjustRightInd w:val="0"/>
              <w:snapToGrid w:val="0"/>
              <w:rPr>
                <w:rFonts w:hint="eastAsia" w:ascii="仿宋_GB2312" w:hAnsi="仿宋_GB2312" w:eastAsia="仿宋_GB2312" w:cs="仿宋_GB2312"/>
                <w:color w:val="auto"/>
                <w:sz w:val="18"/>
                <w:szCs w:val="18"/>
                <w:highlight w:val="none"/>
              </w:rPr>
            </w:pPr>
          </w:p>
          <w:p w14:paraId="66B59C77">
            <w:pPr>
              <w:shd w:val="clear" w:color="auto" w:fill="FFFFFF"/>
              <w:adjustRightInd w:val="0"/>
              <w:snapToGrid w:val="0"/>
              <w:rPr>
                <w:rFonts w:hint="eastAsia" w:ascii="仿宋_GB2312" w:hAnsi="仿宋_GB2312" w:eastAsia="仿宋_GB2312" w:cs="仿宋_GB2312"/>
                <w:color w:val="auto"/>
                <w:sz w:val="18"/>
                <w:szCs w:val="18"/>
                <w:highlight w:val="none"/>
              </w:rPr>
            </w:pPr>
          </w:p>
          <w:p w14:paraId="1646BC52">
            <w:pPr>
              <w:shd w:val="clear" w:color="auto" w:fill="FFFFFF"/>
              <w:adjustRightInd w:val="0"/>
              <w:snapToGrid w:val="0"/>
              <w:rPr>
                <w:rFonts w:hint="eastAsia" w:ascii="仿宋_GB2312" w:hAnsi="仿宋_GB2312" w:eastAsia="仿宋_GB2312" w:cs="仿宋_GB2312"/>
                <w:color w:val="auto"/>
                <w:sz w:val="18"/>
                <w:szCs w:val="18"/>
                <w:highlight w:val="none"/>
              </w:rPr>
            </w:pPr>
          </w:p>
          <w:p w14:paraId="49D58EFD">
            <w:pPr>
              <w:shd w:val="clear" w:color="auto" w:fill="FFFFFF"/>
              <w:adjustRightInd w:val="0"/>
              <w:snapToGrid w:val="0"/>
              <w:rPr>
                <w:rFonts w:hint="eastAsia" w:ascii="仿宋_GB2312" w:hAnsi="仿宋_GB2312" w:eastAsia="仿宋_GB2312" w:cs="仿宋_GB2312"/>
                <w:color w:val="auto"/>
                <w:sz w:val="18"/>
                <w:szCs w:val="18"/>
                <w:highlight w:val="none"/>
              </w:rPr>
            </w:pPr>
          </w:p>
          <w:p w14:paraId="072BB844">
            <w:pPr>
              <w:shd w:val="clear" w:color="auto" w:fill="FFFFFF"/>
              <w:adjustRightInd w:val="0"/>
              <w:snapToGrid w:val="0"/>
              <w:rPr>
                <w:rFonts w:hint="eastAsia" w:ascii="仿宋_GB2312" w:hAnsi="仿宋_GB2312" w:eastAsia="仿宋_GB2312" w:cs="仿宋_GB2312"/>
                <w:color w:val="auto"/>
                <w:sz w:val="18"/>
                <w:szCs w:val="18"/>
                <w:highlight w:val="none"/>
              </w:rPr>
            </w:pPr>
          </w:p>
          <w:p w14:paraId="2C8B3CCF">
            <w:pPr>
              <w:shd w:val="clear" w:color="auto" w:fill="FFFFFF"/>
              <w:adjustRightInd w:val="0"/>
              <w:snapToGrid w:val="0"/>
              <w:rPr>
                <w:rFonts w:hint="eastAsia" w:ascii="仿宋_GB2312" w:hAnsi="仿宋_GB2312" w:eastAsia="仿宋_GB2312" w:cs="仿宋_GB2312"/>
                <w:color w:val="auto"/>
                <w:sz w:val="18"/>
                <w:szCs w:val="18"/>
                <w:highlight w:val="none"/>
              </w:rPr>
            </w:pPr>
          </w:p>
          <w:p w14:paraId="3DD171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A92D8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454CA1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472E8C2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C4DDD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00006D4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2972" w:type="dxa"/>
            <w:noWrap w:val="0"/>
            <w:vAlign w:val="center"/>
          </w:tcPr>
          <w:p w14:paraId="43E0AD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FCFAFB5">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F98BC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4ACBD8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13DD52E">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25C4EE0">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r w14:paraId="5F72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D35C0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3</w:t>
            </w:r>
          </w:p>
        </w:tc>
        <w:tc>
          <w:tcPr>
            <w:tcW w:w="612" w:type="dxa"/>
            <w:noWrap w:val="0"/>
            <w:vAlign w:val="center"/>
          </w:tcPr>
          <w:p w14:paraId="23D7BCA4">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对在地质灾害防治工作中做出突出贡献单位和个人的奖励</w:t>
            </w:r>
          </w:p>
        </w:tc>
        <w:tc>
          <w:tcPr>
            <w:tcW w:w="675" w:type="dxa"/>
            <w:noWrap w:val="0"/>
            <w:vAlign w:val="center"/>
          </w:tcPr>
          <w:p w14:paraId="63825A32">
            <w:pPr>
              <w:jc w:val="both"/>
              <w:rPr>
                <w:rFonts w:hint="eastAsia" w:ascii="仿宋_GB2312" w:hAnsi="仿宋_GB2312" w:eastAsia="仿宋_GB2312" w:cs="仿宋_GB2312"/>
                <w:color w:val="auto"/>
                <w:sz w:val="18"/>
                <w:szCs w:val="18"/>
                <w:highlight w:val="none"/>
                <w:vertAlign w:val="baseline"/>
                <w:lang w:val="en-US" w:eastAsia="zh-CN"/>
              </w:rPr>
            </w:pPr>
          </w:p>
        </w:tc>
        <w:tc>
          <w:tcPr>
            <w:tcW w:w="690" w:type="dxa"/>
            <w:noWrap w:val="0"/>
            <w:vAlign w:val="center"/>
          </w:tcPr>
          <w:p w14:paraId="218D3CE5">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0812003000</w:t>
            </w:r>
          </w:p>
        </w:tc>
        <w:tc>
          <w:tcPr>
            <w:tcW w:w="1650" w:type="dxa"/>
            <w:noWrap w:val="0"/>
            <w:vAlign w:val="center"/>
          </w:tcPr>
          <w:p w14:paraId="731842B1">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【行政法规】《地质灾害防治条例》（2003年国务院令第394号）</w:t>
            </w:r>
          </w:p>
          <w:p w14:paraId="6EB13C29">
            <w:pPr>
              <w:spacing w:line="270" w:lineRule="exact"/>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第九条第二款  在地质灾害防治工作中做出突出贡献的单位和个人，由人民政府给予奖励。</w:t>
            </w:r>
          </w:p>
        </w:tc>
        <w:tc>
          <w:tcPr>
            <w:tcW w:w="585" w:type="dxa"/>
            <w:noWrap w:val="0"/>
            <w:vAlign w:val="center"/>
          </w:tcPr>
          <w:p w14:paraId="474302BD">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部门审核、政府奖励</w:t>
            </w:r>
          </w:p>
        </w:tc>
        <w:tc>
          <w:tcPr>
            <w:tcW w:w="1125" w:type="dxa"/>
            <w:noWrap w:val="0"/>
            <w:vAlign w:val="center"/>
          </w:tcPr>
          <w:p w14:paraId="40BFCF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671B859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42F195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2892B5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5908A04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2943A41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【行政法规】《地质灾害防治条例》（2003年国务院令第394号）</w:t>
            </w:r>
          </w:p>
          <w:p w14:paraId="17DB36C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第九条第二款  在地质灾害防治工作中做出突出贡献的单位和个人，由人民政府给予奖励。</w:t>
            </w:r>
          </w:p>
        </w:tc>
        <w:tc>
          <w:tcPr>
            <w:tcW w:w="1575" w:type="dxa"/>
            <w:noWrap w:val="0"/>
            <w:vAlign w:val="center"/>
          </w:tcPr>
          <w:p w14:paraId="48ACA2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B3B08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616840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065853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3961B3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2405889A">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1E4A732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6455A0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60780E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5DE9BB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4C8D9C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2BA088B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055" w:type="dxa"/>
            <w:noWrap w:val="0"/>
            <w:vAlign w:val="center"/>
          </w:tcPr>
          <w:p w14:paraId="03EC27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00133A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4CC185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764C48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7490F4D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7B5834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749BC48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972" w:type="dxa"/>
            <w:noWrap w:val="0"/>
            <w:vAlign w:val="center"/>
          </w:tcPr>
          <w:p w14:paraId="611865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AEF304A">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032B1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7DA9A8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B7FDC6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37DADFA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r w14:paraId="1A69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9C47DD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4</w:t>
            </w:r>
          </w:p>
        </w:tc>
        <w:tc>
          <w:tcPr>
            <w:tcW w:w="612" w:type="dxa"/>
            <w:noWrap w:val="0"/>
            <w:vAlign w:val="center"/>
          </w:tcPr>
          <w:p w14:paraId="6888BD4B">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对在保护开发土地资源、合理利用土地及科学研究等方面成绩显著的奖励</w:t>
            </w:r>
          </w:p>
        </w:tc>
        <w:tc>
          <w:tcPr>
            <w:tcW w:w="675" w:type="dxa"/>
            <w:noWrap w:val="0"/>
            <w:vAlign w:val="center"/>
          </w:tcPr>
          <w:p w14:paraId="0C361EC2">
            <w:pPr>
              <w:jc w:val="both"/>
              <w:rPr>
                <w:rFonts w:hint="eastAsia" w:ascii="仿宋_GB2312" w:hAnsi="仿宋_GB2312" w:eastAsia="仿宋_GB2312" w:cs="仿宋_GB2312"/>
                <w:color w:val="auto"/>
                <w:sz w:val="18"/>
                <w:szCs w:val="18"/>
                <w:highlight w:val="none"/>
                <w:vertAlign w:val="baseline"/>
                <w:lang w:val="en-US" w:eastAsia="zh-CN"/>
              </w:rPr>
            </w:pPr>
          </w:p>
        </w:tc>
        <w:tc>
          <w:tcPr>
            <w:tcW w:w="690" w:type="dxa"/>
            <w:noWrap w:val="0"/>
            <w:vAlign w:val="center"/>
          </w:tcPr>
          <w:p w14:paraId="32B574BC">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0812004000</w:t>
            </w:r>
          </w:p>
        </w:tc>
        <w:tc>
          <w:tcPr>
            <w:tcW w:w="1650" w:type="dxa"/>
            <w:noWrap w:val="0"/>
            <w:vAlign w:val="center"/>
          </w:tcPr>
          <w:p w14:paraId="4FA2A10D">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【法律】《中华人民共和国土地管理法》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2019</w:t>
            </w:r>
            <w:r>
              <w:rPr>
                <w:rFonts w:hint="eastAsia" w:ascii="仿宋_GB2312" w:hAnsi="仿宋_GB2312" w:eastAsia="仿宋_GB2312" w:cs="仿宋_GB2312"/>
                <w:color w:val="auto"/>
                <w:sz w:val="18"/>
                <w:szCs w:val="18"/>
                <w:highlight w:val="none"/>
                <w:lang w:eastAsia="zh-CN"/>
              </w:rPr>
              <w:t>）</w:t>
            </w:r>
          </w:p>
          <w:p w14:paraId="705CF457">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eastAsia="zh-CN"/>
              </w:rPr>
              <w:t>依据</w:t>
            </w:r>
            <w:r>
              <w:rPr>
                <w:rFonts w:hint="eastAsia" w:ascii="仿宋_GB2312" w:hAnsi="仿宋_GB2312" w:eastAsia="仿宋_GB2312" w:cs="仿宋_GB2312"/>
                <w:color w:val="auto"/>
                <w:sz w:val="18"/>
                <w:szCs w:val="18"/>
                <w:highlight w:val="none"/>
              </w:rPr>
              <w:t>《中华人民共和国</w:t>
            </w:r>
            <w:r>
              <w:rPr>
                <w:rFonts w:hint="default" w:ascii="仿宋_GB2312" w:hAnsi="仿宋_GB2312" w:eastAsia="仿宋_GB2312" w:cs="仿宋_GB2312"/>
                <w:color w:val="auto"/>
                <w:sz w:val="18"/>
                <w:szCs w:val="18"/>
                <w:highlight w:val="none"/>
              </w:rPr>
              <w:t>土地管理法》</w:t>
            </w:r>
            <w:r>
              <w:rPr>
                <w:rFonts w:hint="eastAsia" w:ascii="仿宋_GB2312" w:hAnsi="仿宋_GB2312" w:eastAsia="仿宋_GB2312" w:cs="仿宋_GB2312"/>
                <w:color w:val="auto"/>
                <w:sz w:val="18"/>
                <w:szCs w:val="18"/>
                <w:highlight w:val="none"/>
              </w:rPr>
              <w:t>第八条 在保护和开发土地资源、合理利用土地以及进行有关的科学研究等方面成绩显著的单位和个人，由人民政府给予奖励。</w:t>
            </w:r>
          </w:p>
          <w:p w14:paraId="73C1FDDE">
            <w:pPr>
              <w:adjustRightInd w:val="0"/>
              <w:snapToGrid w:val="0"/>
              <w:ind w:firstLine="360" w:firstLineChars="200"/>
              <w:rPr>
                <w:rFonts w:hint="eastAsia" w:ascii="仿宋_GB2312" w:hAnsi="仿宋_GB2312" w:eastAsia="仿宋_GB2312" w:cs="仿宋_GB2312"/>
                <w:color w:val="auto"/>
                <w:sz w:val="18"/>
                <w:szCs w:val="18"/>
                <w:highlight w:val="none"/>
              </w:rPr>
            </w:pPr>
          </w:p>
          <w:p w14:paraId="660233B1">
            <w:pPr>
              <w:adjustRightInd w:val="0"/>
              <w:snapToGrid w:val="0"/>
              <w:ind w:firstLine="360" w:firstLineChars="200"/>
              <w:rPr>
                <w:rFonts w:hint="eastAsia" w:ascii="仿宋_GB2312" w:hAnsi="仿宋_GB2312" w:eastAsia="仿宋_GB2312" w:cs="仿宋_GB2312"/>
                <w:color w:val="auto"/>
                <w:sz w:val="18"/>
                <w:szCs w:val="18"/>
                <w:highlight w:val="none"/>
              </w:rPr>
            </w:pPr>
          </w:p>
          <w:p w14:paraId="2481F5F5">
            <w:pPr>
              <w:adjustRightInd w:val="0"/>
              <w:snapToGrid w:val="0"/>
              <w:ind w:firstLine="360" w:firstLineChars="200"/>
              <w:rPr>
                <w:rFonts w:hint="eastAsia" w:ascii="仿宋_GB2312" w:hAnsi="仿宋_GB2312" w:eastAsia="仿宋_GB2312" w:cs="仿宋_GB2312"/>
                <w:color w:val="auto"/>
                <w:sz w:val="18"/>
                <w:szCs w:val="18"/>
                <w:highlight w:val="none"/>
              </w:rPr>
            </w:pPr>
            <w:bookmarkStart w:id="12" w:name="2724405-2875897-3_3"/>
            <w:bookmarkEnd w:id="12"/>
          </w:p>
          <w:p w14:paraId="7BF0F77E">
            <w:pPr>
              <w:spacing w:line="270" w:lineRule="exact"/>
              <w:ind w:firstLine="360" w:firstLineChars="200"/>
              <w:rPr>
                <w:rFonts w:hint="eastAsia" w:ascii="仿宋_GB2312" w:hAnsi="仿宋_GB2312" w:eastAsia="仿宋_GB2312" w:cs="仿宋_GB2312"/>
                <w:color w:val="auto"/>
                <w:kern w:val="2"/>
                <w:sz w:val="18"/>
                <w:szCs w:val="18"/>
                <w:highlight w:val="none"/>
                <w:lang w:val="en-US" w:eastAsia="zh-CN" w:bidi="ar-SA"/>
              </w:rPr>
            </w:pPr>
          </w:p>
        </w:tc>
        <w:tc>
          <w:tcPr>
            <w:tcW w:w="585" w:type="dxa"/>
            <w:noWrap w:val="0"/>
            <w:vAlign w:val="center"/>
          </w:tcPr>
          <w:p w14:paraId="27FC7D4E">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vertAlign w:val="baseline"/>
                <w:lang w:val="en-US" w:eastAsia="zh-CN" w:bidi="ar-SA"/>
              </w:rPr>
              <w:t>部门审核、政府奖励</w:t>
            </w:r>
          </w:p>
        </w:tc>
        <w:tc>
          <w:tcPr>
            <w:tcW w:w="1125" w:type="dxa"/>
            <w:noWrap w:val="0"/>
            <w:vAlign w:val="center"/>
          </w:tcPr>
          <w:p w14:paraId="5E98E58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18C07B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683D296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5166A4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0DFF96E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17A64E04">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【法律】《中华人民共和国土地管理法》（20</w:t>
            </w:r>
            <w:r>
              <w:rPr>
                <w:rFonts w:hint="eastAsia" w:ascii="仿宋_GB2312" w:hAnsi="仿宋_GB2312" w:eastAsia="仿宋_GB2312" w:cs="仿宋_GB2312"/>
                <w:color w:val="auto"/>
                <w:sz w:val="18"/>
                <w:szCs w:val="18"/>
                <w:highlight w:val="none"/>
                <w:lang w:val="en-US" w:eastAsia="zh-CN"/>
              </w:rPr>
              <w:t>19</w:t>
            </w:r>
            <w:r>
              <w:rPr>
                <w:rFonts w:hint="eastAsia" w:ascii="仿宋_GB2312" w:hAnsi="仿宋_GB2312" w:eastAsia="仿宋_GB2312" w:cs="仿宋_GB2312"/>
                <w:color w:val="auto"/>
                <w:sz w:val="18"/>
                <w:szCs w:val="18"/>
                <w:highlight w:val="none"/>
              </w:rPr>
              <w:t>年修正）</w:t>
            </w:r>
          </w:p>
          <w:p w14:paraId="24261F1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在保护和开发</w:t>
            </w:r>
            <w:r>
              <w:rPr>
                <w:rFonts w:hint="eastAsia" w:ascii="仿宋_GB2312" w:hAnsi="仿宋_GB2312" w:eastAsia="仿宋_GB2312" w:cs="仿宋_GB2312"/>
                <w:color w:val="auto"/>
                <w:sz w:val="18"/>
                <w:szCs w:val="18"/>
                <w:highlight w:val="none"/>
              </w:rPr>
              <w:fldChar w:fldCharType="begin"/>
            </w:r>
            <w:r>
              <w:rPr>
                <w:rFonts w:hint="eastAsia" w:ascii="仿宋_GB2312" w:hAnsi="仿宋_GB2312" w:eastAsia="仿宋_GB2312" w:cs="仿宋_GB2312"/>
                <w:color w:val="auto"/>
                <w:sz w:val="18"/>
                <w:szCs w:val="18"/>
                <w:highlight w:val="none"/>
              </w:rPr>
              <w:instrText xml:space="preserve"> HYPERLINK "https://baike.baidu.com/item/%E5%9C%9F%E5%9C%B0%E8%B5%84%E6%BA%90" \t "https://baike.baidu.com/item/%E5%9C%9F%E5%9C%B0%E7%AE%A1%E7%90%86%E6%B3%95/_blank" </w:instrText>
            </w:r>
            <w:r>
              <w:rPr>
                <w:rFonts w:hint="eastAsia" w:ascii="仿宋_GB2312" w:hAnsi="仿宋_GB2312" w:eastAsia="仿宋_GB2312" w:cs="仿宋_GB2312"/>
                <w:color w:val="auto"/>
                <w:sz w:val="18"/>
                <w:szCs w:val="18"/>
                <w:highlight w:val="none"/>
              </w:rPr>
              <w:fldChar w:fldCharType="separate"/>
            </w:r>
            <w:r>
              <w:rPr>
                <w:rFonts w:hint="eastAsia" w:ascii="仿宋_GB2312" w:hAnsi="仿宋_GB2312" w:eastAsia="仿宋_GB2312" w:cs="仿宋_GB2312"/>
                <w:color w:val="auto"/>
                <w:sz w:val="18"/>
                <w:szCs w:val="18"/>
                <w:highlight w:val="none"/>
              </w:rPr>
              <w:t>土地资源</w:t>
            </w:r>
            <w:r>
              <w:rPr>
                <w:rFonts w:hint="eastAsia" w:ascii="仿宋_GB2312" w:hAnsi="仿宋_GB2312" w:eastAsia="仿宋_GB2312" w:cs="仿宋_GB2312"/>
                <w:color w:val="auto"/>
                <w:sz w:val="18"/>
                <w:szCs w:val="18"/>
                <w:highlight w:val="none"/>
              </w:rPr>
              <w:fldChar w:fldCharType="end"/>
            </w:r>
            <w:r>
              <w:rPr>
                <w:rFonts w:hint="eastAsia" w:ascii="仿宋_GB2312" w:hAnsi="仿宋_GB2312" w:eastAsia="仿宋_GB2312" w:cs="仿宋_GB2312"/>
                <w:color w:val="auto"/>
                <w:sz w:val="18"/>
                <w:szCs w:val="18"/>
                <w:highlight w:val="none"/>
              </w:rPr>
              <w:t>、合理利用土地以及进行有关的科学研究等方面成绩显著的单位和个人，由人民政府给予奖励。</w:t>
            </w:r>
          </w:p>
        </w:tc>
        <w:tc>
          <w:tcPr>
            <w:tcW w:w="1575" w:type="dxa"/>
            <w:noWrap w:val="0"/>
            <w:vAlign w:val="center"/>
          </w:tcPr>
          <w:p w14:paraId="753FCF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4E9CF2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28E7BDF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6F679A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1BC9A73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3043C0EF">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38095B3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2EA2D4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751F26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29429C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1ADC01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36AF3D5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055" w:type="dxa"/>
            <w:noWrap w:val="0"/>
            <w:vAlign w:val="center"/>
          </w:tcPr>
          <w:p w14:paraId="461B42C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B74248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1EA02F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438C4D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8125E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3A35F6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5884A67C">
            <w:pPr>
              <w:shd w:val="clear" w:color="auto" w:fill="FFFFFF"/>
              <w:adjustRightInd w:val="0"/>
              <w:snapToGrid w:val="0"/>
              <w:rPr>
                <w:rFonts w:hint="eastAsia" w:ascii="仿宋_GB2312" w:hAnsi="仿宋_GB2312" w:eastAsia="仿宋_GB2312" w:cs="仿宋_GB2312"/>
                <w:color w:val="auto"/>
                <w:sz w:val="18"/>
                <w:szCs w:val="18"/>
                <w:highlight w:val="none"/>
              </w:rPr>
            </w:pPr>
          </w:p>
          <w:p w14:paraId="78D4BD4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972" w:type="dxa"/>
            <w:noWrap w:val="0"/>
            <w:vAlign w:val="center"/>
          </w:tcPr>
          <w:p w14:paraId="136269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8E65DD9">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DCB1C5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66E7D5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C2178DA">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3B9E0E2">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r w14:paraId="579A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7331A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5</w:t>
            </w:r>
          </w:p>
        </w:tc>
        <w:tc>
          <w:tcPr>
            <w:tcW w:w="612" w:type="dxa"/>
            <w:noWrap w:val="0"/>
            <w:vAlign w:val="center"/>
          </w:tcPr>
          <w:p w14:paraId="12B1D808">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对在土地调查工作中做出突出贡献单位和个人的奖励</w:t>
            </w:r>
          </w:p>
        </w:tc>
        <w:tc>
          <w:tcPr>
            <w:tcW w:w="675" w:type="dxa"/>
            <w:noWrap w:val="0"/>
            <w:vAlign w:val="center"/>
          </w:tcPr>
          <w:p w14:paraId="07DC20AC">
            <w:pPr>
              <w:jc w:val="both"/>
              <w:rPr>
                <w:rFonts w:hint="eastAsia" w:ascii="仿宋_GB2312" w:hAnsi="仿宋_GB2312" w:eastAsia="仿宋_GB2312" w:cs="仿宋_GB2312"/>
                <w:color w:val="auto"/>
                <w:sz w:val="18"/>
                <w:szCs w:val="18"/>
                <w:highlight w:val="none"/>
                <w:vertAlign w:val="baseline"/>
                <w:lang w:val="en-US" w:eastAsia="zh-CN"/>
              </w:rPr>
            </w:pPr>
          </w:p>
        </w:tc>
        <w:tc>
          <w:tcPr>
            <w:tcW w:w="690" w:type="dxa"/>
            <w:noWrap w:val="0"/>
            <w:vAlign w:val="center"/>
          </w:tcPr>
          <w:p w14:paraId="3154691E">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0812005000</w:t>
            </w:r>
          </w:p>
        </w:tc>
        <w:tc>
          <w:tcPr>
            <w:tcW w:w="1650" w:type="dxa"/>
            <w:noWrap w:val="0"/>
            <w:vAlign w:val="center"/>
          </w:tcPr>
          <w:p w14:paraId="2DC4E20C">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【行政法规】《土地调查条例》（2018年国务院令第698号修正）</w:t>
            </w:r>
          </w:p>
          <w:p w14:paraId="701C4D25">
            <w:pPr>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第二十九条 对在土地调查工作中做出突出贡献的单位和个人，应当按照国家有关规定给予表彰或者奖励。</w:t>
            </w:r>
          </w:p>
        </w:tc>
        <w:tc>
          <w:tcPr>
            <w:tcW w:w="585" w:type="dxa"/>
            <w:noWrap w:val="0"/>
            <w:vAlign w:val="center"/>
          </w:tcPr>
          <w:p w14:paraId="089D77CC">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vertAlign w:val="baseline"/>
                <w:lang w:val="en-US" w:eastAsia="zh-CN" w:bidi="ar-SA"/>
              </w:rPr>
              <w:t>部门审核、政府奖励</w:t>
            </w:r>
          </w:p>
        </w:tc>
        <w:tc>
          <w:tcPr>
            <w:tcW w:w="1125" w:type="dxa"/>
            <w:noWrap w:val="0"/>
            <w:vAlign w:val="center"/>
          </w:tcPr>
          <w:p w14:paraId="14CE617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230BF68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1A431F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1858732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72D614A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5FDDE5A2">
            <w:pPr>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【行政法规】《土地调查条例》（2018年国务院令第698号修正）</w:t>
            </w:r>
          </w:p>
          <w:p w14:paraId="67A7341A">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第二十九条 对在土地调查工作中做出突出贡献的单位和个人，应当按照国家有关规定给予表彰或者奖励。</w:t>
            </w:r>
          </w:p>
        </w:tc>
        <w:tc>
          <w:tcPr>
            <w:tcW w:w="1575" w:type="dxa"/>
            <w:noWrap w:val="0"/>
            <w:vAlign w:val="center"/>
          </w:tcPr>
          <w:p w14:paraId="77CBC0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3B4B8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460BE4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7952FA9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09D0E9B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709E8417">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46FF40C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0DEDE6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3B27D0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771DB26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2ACE980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25C49DB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055" w:type="dxa"/>
            <w:noWrap w:val="0"/>
            <w:vAlign w:val="center"/>
          </w:tcPr>
          <w:p w14:paraId="0482D4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51D11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7C24EA5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731D63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2FAD6C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671C38C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2972" w:type="dxa"/>
            <w:noWrap w:val="0"/>
            <w:vAlign w:val="center"/>
          </w:tcPr>
          <w:p w14:paraId="7B5D28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C246507">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1BAEE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125ED20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92A77D0">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7A13B92">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097712F">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7947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85ED9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6</w:t>
            </w:r>
          </w:p>
        </w:tc>
        <w:tc>
          <w:tcPr>
            <w:tcW w:w="612" w:type="dxa"/>
            <w:noWrap w:val="0"/>
            <w:vAlign w:val="center"/>
          </w:tcPr>
          <w:p w14:paraId="6FCD1110">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对在土地复垦工作中作出突出贡献的单位和个人的奖励</w:t>
            </w:r>
          </w:p>
        </w:tc>
        <w:tc>
          <w:tcPr>
            <w:tcW w:w="675" w:type="dxa"/>
            <w:noWrap w:val="0"/>
            <w:vAlign w:val="center"/>
          </w:tcPr>
          <w:p w14:paraId="1F364274">
            <w:pPr>
              <w:jc w:val="both"/>
              <w:rPr>
                <w:rFonts w:hint="eastAsia" w:ascii="仿宋_GB2312" w:hAnsi="仿宋_GB2312" w:eastAsia="仿宋_GB2312" w:cs="仿宋_GB2312"/>
                <w:color w:val="auto"/>
                <w:sz w:val="18"/>
                <w:szCs w:val="18"/>
                <w:highlight w:val="none"/>
                <w:vertAlign w:val="baseline"/>
                <w:lang w:val="en-US" w:eastAsia="zh-CN"/>
              </w:rPr>
            </w:pPr>
          </w:p>
        </w:tc>
        <w:tc>
          <w:tcPr>
            <w:tcW w:w="690" w:type="dxa"/>
            <w:noWrap w:val="0"/>
            <w:vAlign w:val="center"/>
          </w:tcPr>
          <w:p w14:paraId="7BCA0B0D">
            <w:pPr>
              <w:adjustRightInd w:val="0"/>
              <w:snapToGrid w:val="0"/>
              <w:jc w:val="left"/>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0812007000</w:t>
            </w:r>
          </w:p>
        </w:tc>
        <w:tc>
          <w:tcPr>
            <w:tcW w:w="1650" w:type="dxa"/>
            <w:noWrap w:val="0"/>
            <w:vAlign w:val="center"/>
          </w:tcPr>
          <w:p w14:paraId="7925B582">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【行政法规】《土地复垦条例》（2011年国务院令第592号）</w:t>
            </w:r>
          </w:p>
          <w:p w14:paraId="4BC5F3AB">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第九条 国家鼓励和支持土地复垦科学研究和技术创新，推广先进的土地复垦技术。</w:t>
            </w:r>
          </w:p>
          <w:p w14:paraId="00B0843E">
            <w:pPr>
              <w:pStyle w:val="3"/>
              <w:adjustRightInd w:val="0"/>
              <w:snapToGrid w:val="0"/>
              <w:spacing w:before="0" w:beforeAutospacing="0" w:after="0" w:afterAutospacing="0"/>
              <w:ind w:firstLine="361" w:firstLineChars="200"/>
              <w:rPr>
                <w:rFonts w:hint="eastAsia" w:ascii="仿宋_GB2312" w:hAnsi="仿宋_GB2312" w:eastAsia="仿宋_GB2312" w:cs="仿宋_GB2312"/>
                <w:b/>
                <w:bCs/>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对在土地复垦工作中作出突出贡献的单位和个人，由县级以上人民政府给予表彰。</w:t>
            </w:r>
          </w:p>
        </w:tc>
        <w:tc>
          <w:tcPr>
            <w:tcW w:w="585" w:type="dxa"/>
            <w:noWrap w:val="0"/>
            <w:vAlign w:val="center"/>
          </w:tcPr>
          <w:p w14:paraId="5465929E">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2"/>
                <w:sz w:val="18"/>
                <w:szCs w:val="18"/>
                <w:highlight w:val="none"/>
                <w:vertAlign w:val="baseline"/>
                <w:lang w:val="en-US" w:eastAsia="zh-CN" w:bidi="ar-SA"/>
              </w:rPr>
              <w:t>部门审核、政府奖励</w:t>
            </w:r>
          </w:p>
        </w:tc>
        <w:tc>
          <w:tcPr>
            <w:tcW w:w="1125" w:type="dxa"/>
            <w:noWrap w:val="0"/>
            <w:vAlign w:val="center"/>
          </w:tcPr>
          <w:p w14:paraId="53FC5A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739877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2B7AC8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7A95851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127A02E7">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18AE28E6">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【行政法规】《土地复垦条例》（2011年国务院令第592号）</w:t>
            </w:r>
          </w:p>
          <w:p w14:paraId="191D7AF5">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第九条 国家鼓励和支持土地复垦科学研究和技术创新，推广先进的土地复垦技术。</w:t>
            </w:r>
          </w:p>
          <w:p w14:paraId="3F711FCC">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对在土地复垦工作中作出突出贡献的单位和个人，由县级以上人民政府给予表彰。</w:t>
            </w:r>
          </w:p>
        </w:tc>
        <w:tc>
          <w:tcPr>
            <w:tcW w:w="1575" w:type="dxa"/>
            <w:noWrap w:val="0"/>
            <w:vAlign w:val="center"/>
          </w:tcPr>
          <w:p w14:paraId="4F5CD7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A05AA3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2FB1288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30B953A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0ECDAA3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0EE266FC">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0BE76AD8">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474E115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66678E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159AF72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212D24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7D43CB7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055" w:type="dxa"/>
            <w:noWrap w:val="0"/>
            <w:vAlign w:val="center"/>
          </w:tcPr>
          <w:p w14:paraId="4A0A49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B6D48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1CEC4DF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681365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7D367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709F619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68A86092">
            <w:pPr>
              <w:shd w:val="clear" w:color="auto" w:fill="FFFFFF"/>
              <w:adjustRightInd w:val="0"/>
              <w:snapToGrid w:val="0"/>
              <w:rPr>
                <w:rFonts w:hint="eastAsia" w:ascii="仿宋_GB2312" w:hAnsi="仿宋_GB2312" w:eastAsia="仿宋_GB2312" w:cs="仿宋_GB2312"/>
                <w:color w:val="auto"/>
                <w:sz w:val="18"/>
                <w:szCs w:val="18"/>
                <w:highlight w:val="none"/>
              </w:rPr>
            </w:pPr>
          </w:p>
          <w:p w14:paraId="5455BC05">
            <w:pPr>
              <w:shd w:val="clear" w:color="auto" w:fill="FFFFFF"/>
              <w:adjustRightInd w:val="0"/>
              <w:snapToGrid w:val="0"/>
              <w:rPr>
                <w:rFonts w:hint="eastAsia" w:ascii="仿宋_GB2312" w:hAnsi="仿宋_GB2312" w:eastAsia="仿宋_GB2312" w:cs="仿宋_GB2312"/>
                <w:color w:val="auto"/>
                <w:sz w:val="18"/>
                <w:szCs w:val="18"/>
                <w:highlight w:val="none"/>
              </w:rPr>
            </w:pPr>
          </w:p>
          <w:p w14:paraId="542C0A0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2972" w:type="dxa"/>
            <w:noWrap w:val="0"/>
            <w:vAlign w:val="center"/>
          </w:tcPr>
          <w:p w14:paraId="16E978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64CFB6E">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D8A84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7E8F1F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5A2686C">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C2027A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89E1AE3">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r>
      <w:tr w14:paraId="1C5D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D7D12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7</w:t>
            </w:r>
          </w:p>
        </w:tc>
        <w:tc>
          <w:tcPr>
            <w:tcW w:w="612" w:type="dxa"/>
            <w:noWrap w:val="0"/>
            <w:vAlign w:val="center"/>
          </w:tcPr>
          <w:p w14:paraId="215CCE40">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对在草原管理、保护、建设、合理利用和科学研究等工作中做出显着成绩的单位和个人的</w:t>
            </w:r>
          </w:p>
          <w:p w14:paraId="41428D3D">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奖励</w:t>
            </w:r>
          </w:p>
        </w:tc>
        <w:tc>
          <w:tcPr>
            <w:tcW w:w="675" w:type="dxa"/>
            <w:noWrap w:val="0"/>
            <w:vAlign w:val="center"/>
          </w:tcPr>
          <w:p w14:paraId="0EF2A33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68929B60">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0817004000</w:t>
            </w:r>
          </w:p>
        </w:tc>
        <w:tc>
          <w:tcPr>
            <w:tcW w:w="1650" w:type="dxa"/>
            <w:noWrap w:val="0"/>
            <w:vAlign w:val="center"/>
          </w:tcPr>
          <w:p w14:paraId="7BFC377B">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【法律】《中华人民共和国草原法》（2013年修正）</w:t>
            </w:r>
          </w:p>
          <w:p w14:paraId="00D6791F">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第七条 国家对在草原管理、保护、建设、合理利用和科学研究等工作中做出显着成绩的单位和个人,给予奖励。</w:t>
            </w:r>
          </w:p>
          <w:p w14:paraId="70A18879">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【地方性法规】《宁夏回族自治区草原管理条例》（2005年修订）</w:t>
            </w:r>
          </w:p>
          <w:p w14:paraId="74E54EAD">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第五条 对在草原管理、保护、建设、合理利用和科学研究等工作中做出显着成绩的单位和个人,各级人民政府和有关部门应当予以表彰和奖励。</w:t>
            </w:r>
          </w:p>
        </w:tc>
        <w:tc>
          <w:tcPr>
            <w:tcW w:w="585" w:type="dxa"/>
            <w:noWrap w:val="0"/>
            <w:vAlign w:val="center"/>
          </w:tcPr>
          <w:p w14:paraId="7BD1B4FA">
            <w:pPr>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对在草原管理、保护、建设、合理利用和科学研究等工作中做出显着成绩的单位和个人的奖励</w:t>
            </w:r>
          </w:p>
        </w:tc>
        <w:tc>
          <w:tcPr>
            <w:tcW w:w="1125" w:type="dxa"/>
            <w:noWrap w:val="0"/>
            <w:vAlign w:val="center"/>
          </w:tcPr>
          <w:p w14:paraId="3FEEF34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4A05EFC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110E744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7E0C314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02C6127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455F3232">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1、【法律】《中华人民共和国草原法》（2013年修正）</w:t>
            </w:r>
          </w:p>
          <w:p w14:paraId="69E24BB9">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第七条 国家对在草原管理、保护、建设、合理利用和科学研究等工作中做出显着成绩的单位和个人,给予奖励。</w:t>
            </w:r>
          </w:p>
          <w:p w14:paraId="0A3DBA0E">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2、【地方性法规】《宁夏回族自治区草原管理条例》（2005年修订）</w:t>
            </w:r>
          </w:p>
          <w:p w14:paraId="5B884E7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第五条 对在草原管理、保护、建设、合理利用和科学研究等工作中做出显着成绩的单位和个人,各级人民政府和有关部门应当予以表彰和奖励。</w:t>
            </w:r>
          </w:p>
        </w:tc>
        <w:tc>
          <w:tcPr>
            <w:tcW w:w="1575" w:type="dxa"/>
            <w:noWrap w:val="0"/>
            <w:vAlign w:val="center"/>
          </w:tcPr>
          <w:p w14:paraId="1DA062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05C31B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4F5B18E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0B7C25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0D305B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19A09097">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54B3147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61BAF08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45DC07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33567B1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7B0EA2D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7BE5D14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751123D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62C63C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159EFD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342FA51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4B7F22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0203D0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7838EFA9">
            <w:pPr>
              <w:shd w:val="clear" w:color="auto" w:fill="FFFFFF"/>
              <w:adjustRightInd w:val="0"/>
              <w:snapToGrid w:val="0"/>
              <w:rPr>
                <w:rFonts w:hint="eastAsia" w:ascii="仿宋_GB2312" w:hAnsi="仿宋_GB2312" w:eastAsia="仿宋_GB2312" w:cs="仿宋_GB2312"/>
                <w:color w:val="auto"/>
                <w:sz w:val="18"/>
                <w:szCs w:val="18"/>
                <w:highlight w:val="none"/>
              </w:rPr>
            </w:pPr>
          </w:p>
          <w:p w14:paraId="53016CC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972" w:type="dxa"/>
            <w:noWrap w:val="0"/>
            <w:vAlign w:val="center"/>
          </w:tcPr>
          <w:p w14:paraId="30AFA5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4F6F04C">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43004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2DBBA05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FED5845">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F4B653C">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74F9FF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632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16F38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8</w:t>
            </w:r>
          </w:p>
        </w:tc>
        <w:tc>
          <w:tcPr>
            <w:tcW w:w="612" w:type="dxa"/>
            <w:noWrap w:val="0"/>
            <w:vAlign w:val="center"/>
          </w:tcPr>
          <w:p w14:paraId="12688085">
            <w:pPr>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对在草种质资源保护和良种选育、推广等工作中成绩显著的单位和个人的奖励</w:t>
            </w:r>
          </w:p>
        </w:tc>
        <w:tc>
          <w:tcPr>
            <w:tcW w:w="675" w:type="dxa"/>
            <w:noWrap w:val="0"/>
            <w:vAlign w:val="center"/>
          </w:tcPr>
          <w:p w14:paraId="68BA8E3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5D59FBC3">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081700700</w:t>
            </w:r>
          </w:p>
        </w:tc>
        <w:tc>
          <w:tcPr>
            <w:tcW w:w="1650" w:type="dxa"/>
            <w:noWrap w:val="0"/>
            <w:vAlign w:val="center"/>
          </w:tcPr>
          <w:p w14:paraId="0E09EFD9">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【部门规章】《草种管理办法》(2015年农业部令第1号修订)</w:t>
            </w:r>
          </w:p>
          <w:p w14:paraId="49071F55">
            <w:pPr>
              <w:adjustRightInd w:val="0"/>
              <w:snapToGrid w:val="0"/>
              <w:ind w:firstLine="360" w:firstLineChars="20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第六条 县级以上地方人民政府草原行政主管部门应当加强草种质资源保护和良种选育、生产、更新、推广工作，鼓励选育、生产、经营相结合，奖励在草种质资源保护和良种选育、推广等工作中成绩显著的单位和个人。</w:t>
            </w:r>
          </w:p>
        </w:tc>
        <w:tc>
          <w:tcPr>
            <w:tcW w:w="585" w:type="dxa"/>
            <w:noWrap w:val="0"/>
            <w:vAlign w:val="center"/>
          </w:tcPr>
          <w:p w14:paraId="6F20F9AE">
            <w:pPr>
              <w:snapToGrid w:val="0"/>
              <w:jc w:val="cente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对在草种质资源保护和良种选育、推广等工作中成绩显著的单位和个人的奖励</w:t>
            </w:r>
          </w:p>
        </w:tc>
        <w:tc>
          <w:tcPr>
            <w:tcW w:w="1125" w:type="dxa"/>
            <w:noWrap w:val="0"/>
            <w:vAlign w:val="center"/>
          </w:tcPr>
          <w:p w14:paraId="4192DB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1505B8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6954D8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3F07933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306EE87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5FB020A3">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【部门规章】《草种管理办法》(2015年农业部令第1号修订)</w:t>
            </w:r>
          </w:p>
          <w:p w14:paraId="185CD2B5">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第六条 县级以上地方人民政府草原行政主管部门应当加强草种质资源保护和良种选育、生产、更新、推广工作，鼓励选育、生产、经营相结合，奖励在草种质资源保护和良种选育、推广等工作中成绩显著的单位和个人。</w:t>
            </w:r>
          </w:p>
        </w:tc>
        <w:tc>
          <w:tcPr>
            <w:tcW w:w="1575" w:type="dxa"/>
            <w:noWrap w:val="0"/>
            <w:vAlign w:val="center"/>
          </w:tcPr>
          <w:p w14:paraId="26CFA1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F05A3B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7B8E0A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58AFC94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2159EC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4C99B5F1">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34600519">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094A31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63036A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2FA70E9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7F854D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1F604CE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1BD5EB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F40EA5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678D3D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1A333F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AF2401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5FAED8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1DE9ACBB">
            <w:pPr>
              <w:shd w:val="clear" w:color="auto" w:fill="FFFFFF"/>
              <w:adjustRightInd w:val="0"/>
              <w:snapToGrid w:val="0"/>
              <w:rPr>
                <w:rFonts w:hint="eastAsia" w:ascii="仿宋_GB2312" w:hAnsi="仿宋_GB2312" w:eastAsia="仿宋_GB2312" w:cs="仿宋_GB2312"/>
                <w:color w:val="auto"/>
                <w:sz w:val="18"/>
                <w:szCs w:val="18"/>
                <w:highlight w:val="none"/>
              </w:rPr>
            </w:pPr>
          </w:p>
          <w:p w14:paraId="37B52DB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972" w:type="dxa"/>
            <w:noWrap w:val="0"/>
            <w:vAlign w:val="center"/>
          </w:tcPr>
          <w:p w14:paraId="1718B25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A75916E">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BC8083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1EB5D31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F157D5E">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D9FF1B7">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9789BC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857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3A202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9</w:t>
            </w:r>
          </w:p>
        </w:tc>
        <w:tc>
          <w:tcPr>
            <w:tcW w:w="612" w:type="dxa"/>
            <w:noWrap w:val="0"/>
            <w:vAlign w:val="center"/>
          </w:tcPr>
          <w:p w14:paraId="1179F584">
            <w:pPr>
              <w:adjustRightInd w:val="0"/>
              <w:snapToGrid w:val="0"/>
              <w:jc w:val="left"/>
              <w:rPr>
                <w:rFonts w:hint="eastAsia" w:ascii="Calibri" w:hAnsi="Calibri" w:eastAsia="宋体" w:cs="Times New Roman"/>
                <w:color w:val="auto"/>
                <w:kern w:val="2"/>
                <w:sz w:val="21"/>
                <w:szCs w:val="24"/>
                <w:highlight w:val="none"/>
                <w:lang w:val="en-US" w:eastAsia="zh-CN" w:bidi="ar-SA"/>
              </w:rPr>
            </w:pPr>
            <w:r>
              <w:rPr>
                <w:rFonts w:hint="eastAsia" w:ascii="仿宋_GB2312" w:hAnsi="仿宋_GB2312" w:eastAsia="仿宋_GB2312" w:cs="仿宋_GB2312"/>
                <w:color w:val="auto"/>
                <w:sz w:val="18"/>
                <w:szCs w:val="18"/>
                <w:highlight w:val="none"/>
              </w:rPr>
              <w:t>对植物检疫成绩突出的先进单位和个人的奖励</w:t>
            </w:r>
          </w:p>
        </w:tc>
        <w:tc>
          <w:tcPr>
            <w:tcW w:w="675" w:type="dxa"/>
            <w:noWrap w:val="0"/>
            <w:vAlign w:val="center"/>
          </w:tcPr>
          <w:p w14:paraId="50B1BF19">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7153E636">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0817009000</w:t>
            </w:r>
          </w:p>
        </w:tc>
        <w:tc>
          <w:tcPr>
            <w:tcW w:w="1650" w:type="dxa"/>
            <w:noWrap w:val="0"/>
            <w:vAlign w:val="center"/>
          </w:tcPr>
          <w:p w14:paraId="7F46461F">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【部门规章】《植物检疫条例实施细则（农业部分）》（2007年农业部令第6号修订）</w:t>
            </w:r>
          </w:p>
          <w:p w14:paraId="64DAC52F">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第二十四条 凡执行《植物检疫条例》有下列突出成绩之一的单位和个人，由农业部、各省、自治区、直辖市人民政府或者农业主管部门给予奖励。</w:t>
            </w:r>
          </w:p>
          <w:p w14:paraId="63BBF2EC">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（一）在开展植物检疫对象和危险性病、虫、杂草普查方面有显著成绩的；</w:t>
            </w:r>
          </w:p>
          <w:p w14:paraId="790EDC11">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（二）在植物检疫对象的封锁、控制、消灭方面有显著成绩的；</w:t>
            </w:r>
          </w:p>
          <w:p w14:paraId="555B4D7A">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（三）在积极宣传和模范执行《植物检疫条例》、植物检疫规章制度、与违反《植物检疫条例》行为作斗争等方面成绩突出的；</w:t>
            </w:r>
          </w:p>
        </w:tc>
        <w:tc>
          <w:tcPr>
            <w:tcW w:w="585" w:type="dxa"/>
            <w:noWrap w:val="0"/>
            <w:vAlign w:val="center"/>
          </w:tcPr>
          <w:p w14:paraId="60734CBD">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对植物检疫成绩突出的先进单位和个人的奖励</w:t>
            </w:r>
          </w:p>
        </w:tc>
        <w:tc>
          <w:tcPr>
            <w:tcW w:w="1125" w:type="dxa"/>
            <w:noWrap w:val="0"/>
            <w:vAlign w:val="center"/>
          </w:tcPr>
          <w:p w14:paraId="6E5735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5B98729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583CA13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772B229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361DCE4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485359C3">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【部门规章】《植物检疫条例实施细则（农业部分）》（2007年农业部令第6号修订）</w:t>
            </w:r>
          </w:p>
          <w:p w14:paraId="7EF6060A">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第二十四条 凡执行《植物检疫条例》有下列突出成绩之一的单位和个人，由农业部、各省、自治区、直辖市人民政府或者农业主管部门给予奖励。</w:t>
            </w:r>
          </w:p>
          <w:p w14:paraId="7C7D4898">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（一）在开展植物检疫对象和危险性病、虫、杂草普查方面有显著成绩的；</w:t>
            </w:r>
          </w:p>
          <w:p w14:paraId="1F238D73">
            <w:pPr>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（二）在植物检疫对象的封锁、控制、消灭方面有显著成绩的；</w:t>
            </w:r>
          </w:p>
          <w:p w14:paraId="7440FAD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（三）在积极宣传和模范执行《植物检疫条例》、植物检疫规章制度、与违反《植物检疫条例》行为作斗争等方面成绩突出的；</w:t>
            </w:r>
          </w:p>
        </w:tc>
        <w:tc>
          <w:tcPr>
            <w:tcW w:w="1575" w:type="dxa"/>
            <w:noWrap w:val="0"/>
            <w:vAlign w:val="center"/>
          </w:tcPr>
          <w:p w14:paraId="539FBBA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66CE3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558590E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016655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6011B5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328F94E5">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61ECCD8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29361B0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55DDEF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647F9D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544ADA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79974A2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4DE88F5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D166FB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5C53EDC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30A9C3A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0B96634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75A48A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0B8611F8">
            <w:pPr>
              <w:shd w:val="clear" w:color="auto" w:fill="FFFFFF"/>
              <w:adjustRightInd w:val="0"/>
              <w:snapToGrid w:val="0"/>
              <w:rPr>
                <w:rFonts w:hint="eastAsia" w:ascii="仿宋_GB2312" w:hAnsi="仿宋_GB2312" w:eastAsia="仿宋_GB2312" w:cs="仿宋_GB2312"/>
                <w:color w:val="auto"/>
                <w:sz w:val="18"/>
                <w:szCs w:val="18"/>
                <w:highlight w:val="none"/>
              </w:rPr>
            </w:pPr>
          </w:p>
          <w:p w14:paraId="64D8060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972" w:type="dxa"/>
            <w:noWrap w:val="0"/>
            <w:vAlign w:val="center"/>
          </w:tcPr>
          <w:p w14:paraId="71BE5C7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2A7C079">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191615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55E0877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C3496D8">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868C24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A59C193">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2564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ED7251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10</w:t>
            </w:r>
          </w:p>
        </w:tc>
        <w:tc>
          <w:tcPr>
            <w:tcW w:w="612" w:type="dxa"/>
            <w:noWrap w:val="0"/>
            <w:vAlign w:val="center"/>
          </w:tcPr>
          <w:p w14:paraId="164A50B1">
            <w:pPr>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对在种质资源保护工作良种选育、推广等工作中成绩显著的单位和个人的奖励</w:t>
            </w:r>
          </w:p>
        </w:tc>
        <w:tc>
          <w:tcPr>
            <w:tcW w:w="675" w:type="dxa"/>
            <w:noWrap w:val="0"/>
            <w:vAlign w:val="center"/>
          </w:tcPr>
          <w:p w14:paraId="61D1380F">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3D063997">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0817010000</w:t>
            </w:r>
          </w:p>
        </w:tc>
        <w:tc>
          <w:tcPr>
            <w:tcW w:w="1650" w:type="dxa"/>
            <w:noWrap w:val="0"/>
            <w:vAlign w:val="center"/>
          </w:tcPr>
          <w:p w14:paraId="351A1774">
            <w:pPr>
              <w:adjustRightInd w:val="0"/>
              <w:snapToGrid w:val="0"/>
              <w:ind w:firstLine="360" w:firstLineChars="20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对在种质资源保护工作良种选育、推广等工作中成绩显著的单位和个人的奖励</w:t>
            </w:r>
          </w:p>
        </w:tc>
        <w:tc>
          <w:tcPr>
            <w:tcW w:w="585" w:type="dxa"/>
            <w:noWrap w:val="0"/>
            <w:vAlign w:val="center"/>
          </w:tcPr>
          <w:p w14:paraId="597E51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77DE5D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2FFAB5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321205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26883174">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125" w:type="dxa"/>
            <w:noWrap w:val="0"/>
            <w:vAlign w:val="center"/>
          </w:tcPr>
          <w:p w14:paraId="6100E043">
            <w:pPr>
              <w:shd w:val="clear" w:color="auto" w:fill="FFFFFF"/>
              <w:adjustRightInd w:val="0"/>
              <w:snapToGrid w:val="0"/>
              <w:ind w:firstLine="360" w:firstLineChars="200"/>
              <w:jc w:val="left"/>
              <w:rPr>
                <w:rFonts w:hint="eastAsia" w:ascii="仿宋_GB2312" w:hAnsi="仿宋_GB2312" w:eastAsia="仿宋_GB2312" w:cs="仿宋_GB2312"/>
                <w:color w:val="auto"/>
                <w:sz w:val="18"/>
                <w:szCs w:val="18"/>
                <w:highlight w:val="none"/>
                <w:lang w:eastAsia="zh-CN"/>
              </w:rPr>
            </w:pPr>
            <w:r>
              <w:rPr>
                <w:rFonts w:hint="eastAsia" w:ascii="仿宋_GB2312" w:hAnsi="仿宋_GB2312" w:eastAsia="仿宋_GB2312" w:cs="仿宋_GB2312"/>
                <w:color w:val="auto"/>
                <w:sz w:val="18"/>
                <w:szCs w:val="18"/>
                <w:highlight w:val="none"/>
              </w:rPr>
              <w:t>【法律】</w:t>
            </w:r>
            <w:r>
              <w:rPr>
                <w:rFonts w:hint="eastAsia" w:ascii="仿宋_GB2312" w:hAnsi="仿宋_GB2312" w:eastAsia="仿宋_GB2312" w:cs="仿宋_GB2312"/>
                <w:color w:val="auto"/>
                <w:sz w:val="18"/>
                <w:szCs w:val="18"/>
                <w:highlight w:val="none"/>
                <w:lang w:eastAsia="zh-CN"/>
              </w:rPr>
              <w:t>《中华人民共和国种子法》（2021年修订）</w:t>
            </w:r>
          </w:p>
          <w:p w14:paraId="7F833571">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国家扶持种质资源保护工作和选育、生产、更新、推广使用良种，鼓励品种选育和种子生产经营相结合，奖励在种质资源保护工作和良种选育、推广等工作中成绩显著的单位和个人。</w:t>
            </w:r>
          </w:p>
        </w:tc>
        <w:tc>
          <w:tcPr>
            <w:tcW w:w="1620" w:type="dxa"/>
            <w:noWrap w:val="0"/>
            <w:vAlign w:val="center"/>
          </w:tcPr>
          <w:p w14:paraId="38CAE6C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BD93E6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59BC43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5C54760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3A69F8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537188C2">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21959A3D">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575" w:type="dxa"/>
            <w:noWrap w:val="0"/>
            <w:vAlign w:val="center"/>
          </w:tcPr>
          <w:p w14:paraId="4B6B54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08A2566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621940A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762FF7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29C30A3B">
            <w:pPr>
              <w:shd w:val="clear" w:color="auto" w:fill="FFFFFF"/>
              <w:adjustRightInd w:val="0"/>
              <w:snapToGrid w:val="0"/>
              <w:rPr>
                <w:rFonts w:hint="eastAsia" w:ascii="仿宋_GB2312" w:hAnsi="仿宋_GB2312" w:eastAsia="仿宋_GB2312" w:cs="仿宋_GB2312"/>
                <w:color w:val="auto"/>
                <w:kern w:val="2"/>
                <w:sz w:val="18"/>
                <w:szCs w:val="18"/>
                <w:highlight w:val="none"/>
                <w:lang w:val="en-US" w:eastAsia="zh-CN" w:bidi="ar-SA"/>
              </w:rPr>
            </w:pPr>
          </w:p>
        </w:tc>
        <w:tc>
          <w:tcPr>
            <w:tcW w:w="1950" w:type="dxa"/>
            <w:noWrap w:val="0"/>
            <w:vAlign w:val="center"/>
          </w:tcPr>
          <w:p w14:paraId="4D14EA4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51A835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489BE85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6E0086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134A1F6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357925E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253BF3AB">
            <w:pPr>
              <w:shd w:val="clear" w:color="auto" w:fill="FFFFFF"/>
              <w:adjustRightInd w:val="0"/>
              <w:snapToGrid w:val="0"/>
              <w:rPr>
                <w:rFonts w:hint="eastAsia" w:ascii="仿宋_GB2312" w:hAnsi="仿宋_GB2312" w:eastAsia="仿宋_GB2312" w:cs="仿宋_GB2312"/>
                <w:color w:val="auto"/>
                <w:sz w:val="18"/>
                <w:szCs w:val="18"/>
                <w:highlight w:val="none"/>
              </w:rPr>
            </w:pPr>
          </w:p>
          <w:p w14:paraId="7515AA7A">
            <w:pPr>
              <w:shd w:val="clear" w:color="auto" w:fill="FFFFFF"/>
              <w:adjustRightInd w:val="0"/>
              <w:snapToGrid w:val="0"/>
              <w:rPr>
                <w:rFonts w:hint="eastAsia" w:ascii="仿宋_GB2312" w:hAnsi="仿宋_GB2312" w:eastAsia="仿宋_GB2312" w:cs="仿宋_GB2312"/>
                <w:color w:val="auto"/>
                <w:sz w:val="18"/>
                <w:szCs w:val="18"/>
                <w:highlight w:val="none"/>
              </w:rPr>
            </w:pPr>
          </w:p>
          <w:p w14:paraId="6B8A1E1C">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5A67EF7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5C80F950">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A3485F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5316FEC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4A422C05">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45B4D2B0">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c>
          <w:tcPr>
            <w:tcW w:w="2972" w:type="dxa"/>
            <w:noWrap w:val="0"/>
            <w:vAlign w:val="center"/>
          </w:tcPr>
          <w:p w14:paraId="569879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41FE239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67855F5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728F30C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693DEAD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r>
      <w:tr w14:paraId="328E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636030F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11</w:t>
            </w:r>
          </w:p>
        </w:tc>
        <w:tc>
          <w:tcPr>
            <w:tcW w:w="612" w:type="dxa"/>
            <w:noWrap w:val="0"/>
            <w:vAlign w:val="center"/>
          </w:tcPr>
          <w:p w14:paraId="4F317583">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对植树造林、保护森林、森林管理以及林业科学研究等方面成绩显著的单位和个人的奖励</w:t>
            </w:r>
          </w:p>
        </w:tc>
        <w:tc>
          <w:tcPr>
            <w:tcW w:w="675" w:type="dxa"/>
            <w:noWrap w:val="0"/>
            <w:vAlign w:val="center"/>
          </w:tcPr>
          <w:p w14:paraId="1E50DF68">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3BA232CB">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0822001000</w:t>
            </w:r>
          </w:p>
        </w:tc>
        <w:tc>
          <w:tcPr>
            <w:tcW w:w="1650" w:type="dxa"/>
            <w:noWrap w:val="0"/>
            <w:vAlign w:val="center"/>
          </w:tcPr>
          <w:p w14:paraId="72B0B51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w:t>
            </w:r>
            <w:r>
              <w:rPr>
                <w:rFonts w:hint="eastAsia" w:ascii="仿宋_GB2312" w:hAnsi="仿宋_GB2312" w:eastAsia="仿宋_GB2312" w:cs="仿宋_GB2312"/>
                <w:color w:val="auto"/>
                <w:sz w:val="18"/>
                <w:szCs w:val="18"/>
                <w:highlight w:val="none"/>
                <w:lang w:val="en-US" w:eastAsia="zh-CN"/>
              </w:rPr>
              <w:t>019</w:t>
            </w:r>
            <w:r>
              <w:rPr>
                <w:rFonts w:hint="eastAsia" w:ascii="仿宋_GB2312" w:hAnsi="仿宋_GB2312" w:eastAsia="仿宋_GB2312" w:cs="仿宋_GB2312"/>
                <w:color w:val="auto"/>
                <w:sz w:val="18"/>
                <w:szCs w:val="18"/>
                <w:highlight w:val="none"/>
              </w:rPr>
              <w:t>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07C7CE22">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第十三条 对在造林绿化、森林保护、森林经营管理以及林业科学研究等方面成绩显著的组织或者个人，按照国家有关规定给予表彰、奖励。</w:t>
            </w:r>
          </w:p>
        </w:tc>
        <w:tc>
          <w:tcPr>
            <w:tcW w:w="585" w:type="dxa"/>
            <w:noWrap w:val="0"/>
            <w:vAlign w:val="center"/>
          </w:tcPr>
          <w:p w14:paraId="0FA0A3DE">
            <w:pPr>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对植树造林、保护森林、森林管理以及林业科学研究等方面成绩显著的单位和个人的奖励</w:t>
            </w:r>
          </w:p>
        </w:tc>
        <w:tc>
          <w:tcPr>
            <w:tcW w:w="1125" w:type="dxa"/>
            <w:noWrap w:val="0"/>
            <w:vAlign w:val="center"/>
          </w:tcPr>
          <w:p w14:paraId="5AF845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5CE3E2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629801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3DDA5A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57B4FC4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66BCF43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法律】《中华人民共和国森林法》（20</w:t>
            </w:r>
            <w:r>
              <w:rPr>
                <w:rFonts w:hint="eastAsia" w:ascii="仿宋_GB2312" w:hAnsi="仿宋_GB2312" w:eastAsia="仿宋_GB2312" w:cs="仿宋_GB2312"/>
                <w:color w:val="auto"/>
                <w:sz w:val="18"/>
                <w:szCs w:val="18"/>
                <w:highlight w:val="none"/>
                <w:lang w:val="en-US" w:eastAsia="zh-CN"/>
              </w:rPr>
              <w:t>1</w:t>
            </w:r>
            <w:r>
              <w:rPr>
                <w:rFonts w:hint="eastAsia" w:ascii="仿宋_GB2312" w:hAnsi="仿宋_GB2312" w:eastAsia="仿宋_GB2312" w:cs="仿宋_GB2312"/>
                <w:color w:val="auto"/>
                <w:sz w:val="18"/>
                <w:szCs w:val="18"/>
                <w:highlight w:val="none"/>
              </w:rPr>
              <w:t>9年修改）</w:t>
            </w:r>
          </w:p>
          <w:p w14:paraId="384382F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第十二条  在植树造林、保护森林、森林管理以及林业科学研究等方面成绩显著的单位和个人，由各级人民政府给予奖励</w:t>
            </w:r>
          </w:p>
        </w:tc>
        <w:tc>
          <w:tcPr>
            <w:tcW w:w="1575" w:type="dxa"/>
            <w:noWrap w:val="0"/>
            <w:vAlign w:val="center"/>
          </w:tcPr>
          <w:p w14:paraId="113357E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161E5D6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26509B8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002E460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27A958F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097462E7">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236947D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090F3D4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57C398D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2D7F4AD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5EDF3D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0B07789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582FAA2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063C58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0A9E1A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1E214D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8665CF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11F802C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72A1A708">
            <w:pPr>
              <w:shd w:val="clear" w:color="auto" w:fill="FFFFFF"/>
              <w:adjustRightInd w:val="0"/>
              <w:snapToGrid w:val="0"/>
              <w:rPr>
                <w:rFonts w:hint="eastAsia" w:ascii="仿宋_GB2312" w:hAnsi="仿宋_GB2312" w:eastAsia="仿宋_GB2312" w:cs="仿宋_GB2312"/>
                <w:color w:val="auto"/>
                <w:sz w:val="18"/>
                <w:szCs w:val="18"/>
                <w:highlight w:val="none"/>
              </w:rPr>
            </w:pPr>
          </w:p>
          <w:p w14:paraId="75FD010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972" w:type="dxa"/>
            <w:noWrap w:val="0"/>
            <w:vAlign w:val="center"/>
          </w:tcPr>
          <w:p w14:paraId="62F262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270202F">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08BCE6A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5FA145C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C6CE7C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7755D668">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5272D2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AF8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F851F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12</w:t>
            </w:r>
          </w:p>
        </w:tc>
        <w:tc>
          <w:tcPr>
            <w:tcW w:w="612" w:type="dxa"/>
            <w:noWrap w:val="0"/>
            <w:vAlign w:val="center"/>
          </w:tcPr>
          <w:p w14:paraId="6F74CE9F">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对建设、管理自然保护区以及在有关的科学研究中做出显著成绩的单位和个人的奖励</w:t>
            </w:r>
          </w:p>
        </w:tc>
        <w:tc>
          <w:tcPr>
            <w:tcW w:w="675" w:type="dxa"/>
            <w:noWrap w:val="0"/>
            <w:vAlign w:val="center"/>
          </w:tcPr>
          <w:p w14:paraId="66A95ED1">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7F5C3132">
            <w:pPr>
              <w:adjustRightInd w:val="0"/>
              <w:snapToGrid w:val="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0822002000</w:t>
            </w:r>
          </w:p>
        </w:tc>
        <w:tc>
          <w:tcPr>
            <w:tcW w:w="1650" w:type="dxa"/>
            <w:noWrap w:val="0"/>
            <w:vAlign w:val="center"/>
          </w:tcPr>
          <w:p w14:paraId="7BEEB85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 《中华人民共和国自然保护区条例》（2017年国务院令第687号修订）</w:t>
            </w:r>
          </w:p>
          <w:p w14:paraId="7AC22A45">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第九条  对建设、管理自然保护区以及在有关的科学研究中做出显著成绩的单位和个人，由人民政府给予奖励。</w:t>
            </w:r>
          </w:p>
        </w:tc>
        <w:tc>
          <w:tcPr>
            <w:tcW w:w="585" w:type="dxa"/>
            <w:noWrap w:val="0"/>
            <w:vAlign w:val="center"/>
          </w:tcPr>
          <w:p w14:paraId="72D60549">
            <w:pPr>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对建设、管理自然保护区以及在有关的科学研究中做出显著成绩的单位和个人的奖励</w:t>
            </w:r>
          </w:p>
        </w:tc>
        <w:tc>
          <w:tcPr>
            <w:tcW w:w="1125" w:type="dxa"/>
            <w:noWrap w:val="0"/>
            <w:vAlign w:val="center"/>
          </w:tcPr>
          <w:p w14:paraId="37B6187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25A9BE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36A550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56A43D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7A8A6BA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3D3E7F02">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 《中华人民共和国自然保护区条例》（2017年国务院令第687号修订）</w:t>
            </w:r>
          </w:p>
          <w:p w14:paraId="288EC5B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第九条  对建设、管理自然保护区以及在有关的科学研究中做出显著成绩的单位和个人，由人民政府给予奖励。</w:t>
            </w:r>
          </w:p>
        </w:tc>
        <w:tc>
          <w:tcPr>
            <w:tcW w:w="1575" w:type="dxa"/>
            <w:noWrap w:val="0"/>
            <w:vAlign w:val="center"/>
          </w:tcPr>
          <w:p w14:paraId="6F0E33F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3829FD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700819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3738947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6D6C2A6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571DCA2C">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21383BE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66DC899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66B229D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225818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1F17210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30DCD6DA">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47537A5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6F32A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4668914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60EDF20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6CA4CAC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697BF2B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245787E0">
            <w:pPr>
              <w:shd w:val="clear" w:color="auto" w:fill="FFFFFF"/>
              <w:adjustRightInd w:val="0"/>
              <w:snapToGrid w:val="0"/>
              <w:rPr>
                <w:rFonts w:hint="eastAsia" w:ascii="仿宋_GB2312" w:hAnsi="仿宋_GB2312" w:eastAsia="仿宋_GB2312" w:cs="仿宋_GB2312"/>
                <w:color w:val="auto"/>
                <w:sz w:val="18"/>
                <w:szCs w:val="18"/>
                <w:highlight w:val="none"/>
              </w:rPr>
            </w:pPr>
          </w:p>
          <w:p w14:paraId="6A271EF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972" w:type="dxa"/>
            <w:noWrap w:val="0"/>
            <w:vAlign w:val="center"/>
          </w:tcPr>
          <w:p w14:paraId="104E24F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0826427">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53F014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44BBEE1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022B2B0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D07E641">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93DFC8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33B8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198E36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13</w:t>
            </w:r>
          </w:p>
        </w:tc>
        <w:tc>
          <w:tcPr>
            <w:tcW w:w="612" w:type="dxa"/>
            <w:noWrap w:val="0"/>
            <w:vAlign w:val="center"/>
          </w:tcPr>
          <w:p w14:paraId="5FB509D2">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对在野生动物保护管理和科学研究工作中成绩显著的组织和个人的奖励</w:t>
            </w:r>
          </w:p>
        </w:tc>
        <w:tc>
          <w:tcPr>
            <w:tcW w:w="675" w:type="dxa"/>
            <w:noWrap w:val="0"/>
            <w:vAlign w:val="center"/>
          </w:tcPr>
          <w:p w14:paraId="0D8D4262">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751C0AA5">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0822003000</w:t>
            </w:r>
          </w:p>
        </w:tc>
        <w:tc>
          <w:tcPr>
            <w:tcW w:w="1650" w:type="dxa"/>
            <w:noWrap w:val="0"/>
            <w:vAlign w:val="center"/>
          </w:tcPr>
          <w:p w14:paraId="4519F29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【法律】《中华人民共和国野生动物保护法》（201</w:t>
            </w:r>
            <w:r>
              <w:rPr>
                <w:rFonts w:hint="eastAsia" w:ascii="仿宋_GB2312" w:hAnsi="仿宋_GB2312" w:eastAsia="仿宋_GB2312" w:cs="仿宋_GB2312"/>
                <w:color w:val="auto"/>
                <w:sz w:val="18"/>
                <w:szCs w:val="18"/>
                <w:highlight w:val="none"/>
                <w:lang w:val="en-US" w:eastAsia="zh-CN"/>
              </w:rPr>
              <w:t>8</w:t>
            </w:r>
            <w:r>
              <w:rPr>
                <w:rFonts w:hint="eastAsia" w:ascii="仿宋_GB2312" w:hAnsi="仿宋_GB2312" w:eastAsia="仿宋_GB2312" w:cs="仿宋_GB2312"/>
                <w:color w:val="auto"/>
                <w:sz w:val="18"/>
                <w:szCs w:val="18"/>
                <w:highlight w:val="none"/>
              </w:rPr>
              <w:t>修</w:t>
            </w:r>
            <w:r>
              <w:rPr>
                <w:rFonts w:hint="eastAsia" w:ascii="仿宋_GB2312" w:hAnsi="仿宋_GB2312" w:eastAsia="仿宋_GB2312" w:cs="仿宋_GB2312"/>
                <w:color w:val="auto"/>
                <w:sz w:val="18"/>
                <w:szCs w:val="18"/>
                <w:highlight w:val="none"/>
                <w:lang w:eastAsia="zh-CN"/>
              </w:rPr>
              <w:t>正</w:t>
            </w:r>
            <w:r>
              <w:rPr>
                <w:rFonts w:hint="eastAsia" w:ascii="仿宋_GB2312" w:hAnsi="仿宋_GB2312" w:eastAsia="仿宋_GB2312" w:cs="仿宋_GB2312"/>
                <w:color w:val="auto"/>
                <w:sz w:val="18"/>
                <w:szCs w:val="18"/>
                <w:highlight w:val="none"/>
              </w:rPr>
              <w:t>）</w:t>
            </w:r>
          </w:p>
          <w:p w14:paraId="297E275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第九条　在野生动物保护和科学研究方面成绩显著的组织和个人，由县级以上人民政府给予奖励。</w:t>
            </w:r>
          </w:p>
          <w:p w14:paraId="36F199E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 《中华人民共和国陆生野生动物保护实施条例》（2016年国务院令第666号修订）</w:t>
            </w:r>
          </w:p>
          <w:p w14:paraId="40B507F1">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第三十一条　有下列事迹之一的单位和个人，由县级以上人民政府或者其野生动物行政主管部门给予奖励：</w:t>
            </w:r>
          </w:p>
          <w:p w14:paraId="69B9B333">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（一）在野生动物资源调查、保护管理、宣传教育、开发利用方面有突出贡献的；</w:t>
            </w:r>
          </w:p>
          <w:p w14:paraId="03B0091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（二）严格执行野生动物保护法规，成绩显著的；</w:t>
            </w:r>
          </w:p>
          <w:p w14:paraId="471EAC9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（三）拯救、保护和驯养繁殖珍贵、濒危野生动物取得显著成效的；</w:t>
            </w:r>
          </w:p>
          <w:p w14:paraId="5BB4BA9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（四）发现违反野生动物保护法规行为，及时制止或者检举有功的；</w:t>
            </w:r>
          </w:p>
          <w:p w14:paraId="24C6A9C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（五）在查处破坏野生动物资源案件中有重要贡献的；</w:t>
            </w:r>
          </w:p>
          <w:p w14:paraId="2401A18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（六）在野生动物科学研究中取得重大成果或者在应用推广科研成果中取得显著效益的；</w:t>
            </w:r>
          </w:p>
          <w:p w14:paraId="3A170BC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（七）在基层从事野生动物保护管理工作五年以上并取得显著成绩的；</w:t>
            </w:r>
          </w:p>
          <w:p w14:paraId="2047B556">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（八）在野生动物保护管理工作中有其他特殊贡献的。</w:t>
            </w:r>
          </w:p>
        </w:tc>
        <w:tc>
          <w:tcPr>
            <w:tcW w:w="585" w:type="dxa"/>
            <w:noWrap w:val="0"/>
            <w:vAlign w:val="center"/>
          </w:tcPr>
          <w:p w14:paraId="5A7D2B3D">
            <w:pPr>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对在野生动物保护管理和科学研究工作中成绩显著的组织和个人的奖励</w:t>
            </w:r>
          </w:p>
        </w:tc>
        <w:tc>
          <w:tcPr>
            <w:tcW w:w="1125" w:type="dxa"/>
            <w:noWrap w:val="0"/>
            <w:vAlign w:val="center"/>
          </w:tcPr>
          <w:p w14:paraId="7773AC7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1F0FA32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7E1C26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7E1C05C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2AF3E71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50A2D259">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1、【法律】《中华人民共和国野生动物保护法》（2016修订）</w:t>
            </w:r>
          </w:p>
          <w:p w14:paraId="64AAE2D4">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第九条　在野生动物保护和科学研究方面成绩显著的组织和个人，由县级以上人民政府给予奖励2、【行政法规】 《中华人民共和国陆生野生动物保护实施条例》（2016年国务院令第666号修订）</w:t>
            </w:r>
          </w:p>
          <w:p w14:paraId="55777258">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第三十一条　有下列事迹之一的单位和个人，由县级以上人民政府或者其野生动物行政主管部门给予奖励：</w:t>
            </w:r>
          </w:p>
          <w:p w14:paraId="6970E1AB">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（一）在野生动物资源调查、保护管理、宣传教育、开发利用方面有突出贡献的；</w:t>
            </w:r>
          </w:p>
          <w:p w14:paraId="36FE0B6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（二）严格执行野生动物保护法规，成绩显著的；</w:t>
            </w:r>
          </w:p>
          <w:p w14:paraId="38DCB4D7">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（三）拯救、保护和驯养繁殖珍贵、濒危野生动物取得显著成效的；</w:t>
            </w:r>
          </w:p>
          <w:p w14:paraId="04ED1286">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（四）发现违反野生动物保护法规行为，及时制止或者检举有功的；</w:t>
            </w:r>
          </w:p>
          <w:p w14:paraId="654BF3DE">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（五）在查处破坏野生动物资源案件中有重要贡献的；</w:t>
            </w:r>
          </w:p>
          <w:p w14:paraId="2205BC0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（六）在野生动物科学研究中取得重大成果或者在应用推广科研成果中取得显著效益的；</w:t>
            </w:r>
          </w:p>
          <w:p w14:paraId="5F9DA88D">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（七）在基层从事野生动物保护管理工作五年以上并取得显著成绩的；</w:t>
            </w:r>
          </w:p>
          <w:p w14:paraId="77DE819A">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（八）在野生动物保护管理工作中有其他特殊贡献的。</w:t>
            </w:r>
          </w:p>
        </w:tc>
        <w:tc>
          <w:tcPr>
            <w:tcW w:w="1575" w:type="dxa"/>
            <w:noWrap w:val="0"/>
            <w:vAlign w:val="center"/>
          </w:tcPr>
          <w:p w14:paraId="599EE87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057920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766DA2B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07DA4E9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5FB4F46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2019BC66">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2BC6AFC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5B7E53D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6A06098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12DD3D7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3989E0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17EA54BD">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2BE06A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4F6E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4C50CA1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692CB68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B43D24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4FF14822">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2972" w:type="dxa"/>
            <w:noWrap w:val="0"/>
            <w:vAlign w:val="center"/>
          </w:tcPr>
          <w:p w14:paraId="15F68CA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08DF199">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C41064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590DBA7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005D6F3">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756DD5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7475F561">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7367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00AC72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14</w:t>
            </w:r>
          </w:p>
        </w:tc>
        <w:tc>
          <w:tcPr>
            <w:tcW w:w="612" w:type="dxa"/>
            <w:noWrap w:val="0"/>
            <w:vAlign w:val="center"/>
          </w:tcPr>
          <w:p w14:paraId="524CF744">
            <w:pPr>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对在野生植物保护、科学研究、培育利用和宣传教育成绩显著的单位和人的奖励</w:t>
            </w:r>
          </w:p>
        </w:tc>
        <w:tc>
          <w:tcPr>
            <w:tcW w:w="675" w:type="dxa"/>
            <w:noWrap w:val="0"/>
            <w:vAlign w:val="center"/>
          </w:tcPr>
          <w:p w14:paraId="4A68A388">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90" w:type="dxa"/>
            <w:noWrap w:val="0"/>
            <w:vAlign w:val="center"/>
          </w:tcPr>
          <w:p w14:paraId="1855DEE5">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0822004000</w:t>
            </w:r>
          </w:p>
        </w:tc>
        <w:tc>
          <w:tcPr>
            <w:tcW w:w="1650" w:type="dxa"/>
            <w:noWrap w:val="0"/>
            <w:vAlign w:val="center"/>
          </w:tcPr>
          <w:p w14:paraId="5EE8DC73">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 《中华人民共和国野生植物保护条例》（2017年国务院令第687号修正）</w:t>
            </w:r>
          </w:p>
          <w:p w14:paraId="05EEB46E">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第五条　国家鼓励和支持野生植物科学研究、野生植物的就地保护和迁地保护。</w:t>
            </w:r>
          </w:p>
          <w:p w14:paraId="7BAEFFDB">
            <w:pPr>
              <w:adjustRightInd w:val="0"/>
              <w:snapToGrid w:val="0"/>
              <w:ind w:firstLine="360" w:firstLineChars="200"/>
              <w:jc w:val="lef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在野生植物资源保护、科学研究、培育利用和宣传教育方面成绩显著的单位和个人，由人民政府给予奖励。</w:t>
            </w:r>
          </w:p>
        </w:tc>
        <w:tc>
          <w:tcPr>
            <w:tcW w:w="585" w:type="dxa"/>
            <w:noWrap w:val="0"/>
            <w:vAlign w:val="center"/>
          </w:tcPr>
          <w:p w14:paraId="330E4F4C">
            <w:pPr>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对在野生植物保护、科学研究、培育利用和宣传教育成绩显著的单位和人的奖励</w:t>
            </w:r>
          </w:p>
        </w:tc>
        <w:tc>
          <w:tcPr>
            <w:tcW w:w="1125" w:type="dxa"/>
            <w:noWrap w:val="0"/>
            <w:vAlign w:val="center"/>
          </w:tcPr>
          <w:p w14:paraId="641966D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1.审核责任：</w:t>
            </w:r>
            <w:r>
              <w:rPr>
                <w:rFonts w:hint="eastAsia" w:ascii="仿宋_GB2312" w:hAnsi="仿宋_GB2312" w:eastAsia="仿宋_GB2312" w:cs="仿宋_GB2312"/>
                <w:color w:val="auto"/>
                <w:kern w:val="0"/>
                <w:sz w:val="18"/>
                <w:szCs w:val="18"/>
                <w:highlight w:val="none"/>
              </w:rPr>
              <w:t>按照相关规定对提交的材料是否符合奖励条件进行审核。</w:t>
            </w:r>
          </w:p>
          <w:p w14:paraId="6CA8BED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2.公示责任：在一定范围内，以适当形式公示符合表彰奖励人员名单。</w:t>
            </w:r>
          </w:p>
          <w:p w14:paraId="3D2FBB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3.上报责任：将符合表彰奖励的合格材料予以上报。</w:t>
            </w:r>
          </w:p>
          <w:p w14:paraId="5EFCE01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4.表彰责任：按照规定的标准、权限和程序进行表彰。</w:t>
            </w:r>
          </w:p>
          <w:p w14:paraId="7D3C8B67">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20" w:type="dxa"/>
            <w:noWrap w:val="0"/>
            <w:vAlign w:val="center"/>
          </w:tcPr>
          <w:p w14:paraId="2DB244C5">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 《中华人民共和国野生植物保护条例》（2017年国务院令第687号修正）</w:t>
            </w:r>
          </w:p>
          <w:p w14:paraId="3885F6A9">
            <w:pPr>
              <w:ind w:firstLine="36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第五条　国家鼓励和支持野生植物科学研究、野生植物的就地保护和迁地保护。</w:t>
            </w:r>
          </w:p>
          <w:p w14:paraId="0B695B78">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在野生植物资源保护、科学研究、培育利用和宣传教育方面成绩显著的单位和个人，由人民政府给予奖励。</w:t>
            </w:r>
          </w:p>
        </w:tc>
        <w:tc>
          <w:tcPr>
            <w:tcW w:w="1575" w:type="dxa"/>
            <w:noWrap w:val="0"/>
            <w:vAlign w:val="center"/>
          </w:tcPr>
          <w:p w14:paraId="57836A6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0E9CDEB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1.对符合条件的申请不予受理、审核的；</w:t>
            </w:r>
          </w:p>
          <w:p w14:paraId="524DCFF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2.未按程序擅自进行表彰奖励的；</w:t>
            </w:r>
          </w:p>
          <w:p w14:paraId="762B8D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3.未按程序规定进行公示的；</w:t>
            </w:r>
          </w:p>
          <w:p w14:paraId="4735330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4.工作中滥用职权、徇私舞弊、玩忽职守造成不良后果的；</w:t>
            </w:r>
          </w:p>
          <w:p w14:paraId="011DA1B5">
            <w:pPr>
              <w:widowControl/>
              <w:adjustRightInd w:val="0"/>
              <w:snapToGrid w:val="0"/>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5.未按裁量权规定，滥用裁量权的；</w:t>
            </w:r>
          </w:p>
          <w:p w14:paraId="245BF556">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1950" w:type="dxa"/>
            <w:noWrap w:val="0"/>
            <w:vAlign w:val="center"/>
          </w:tcPr>
          <w:p w14:paraId="57AEE6E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1.《宁夏回族自治区行政程序规定》第一百一十三条“行政机关及其工作人员违反本规定，有下列情形之一的，依照国家和自治区有关规定追究责任：（四）不履行或者拖延履行法定职责的；</w:t>
            </w:r>
          </w:p>
          <w:p w14:paraId="75C9A13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2.《宁夏回族自治区行政执法监督条例》第二十二条“</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72D35BD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3同2。</w:t>
            </w:r>
          </w:p>
          <w:p w14:paraId="533A2BE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4.《宁夏回族自治区行政程序规定》第一百一十三条“行政机关及其工作人员违反本规定，有下列情形之一的，依照国家和自治区有关规定追究责任：（三）超越或者滥用职权的；”</w:t>
            </w:r>
          </w:p>
          <w:p w14:paraId="4162E55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055" w:type="dxa"/>
            <w:noWrap w:val="0"/>
            <w:vAlign w:val="center"/>
          </w:tcPr>
          <w:p w14:paraId="23885F0E">
            <w:pPr>
              <w:shd w:val="clear" w:color="auto" w:fill="FFFFFF"/>
              <w:adjustRightInd w:val="0"/>
              <w:snapToGrid w:val="0"/>
              <w:rPr>
                <w:rFonts w:hint="eastAsia" w:ascii="仿宋_GB2312" w:hAnsi="仿宋_GB2312" w:eastAsia="仿宋_GB2312" w:cs="仿宋_GB2312"/>
                <w:color w:val="auto"/>
                <w:sz w:val="18"/>
                <w:szCs w:val="18"/>
                <w:highlight w:val="none"/>
              </w:rPr>
            </w:pPr>
          </w:p>
          <w:p w14:paraId="35813D51">
            <w:pPr>
              <w:shd w:val="clear" w:color="auto" w:fill="FFFFFF"/>
              <w:adjustRightInd w:val="0"/>
              <w:snapToGrid w:val="0"/>
              <w:rPr>
                <w:rFonts w:hint="eastAsia" w:ascii="仿宋_GB2312" w:hAnsi="仿宋_GB2312" w:eastAsia="仿宋_GB2312" w:cs="仿宋_GB2312"/>
                <w:color w:val="auto"/>
                <w:sz w:val="18"/>
                <w:szCs w:val="18"/>
                <w:highlight w:val="none"/>
              </w:rPr>
            </w:pPr>
          </w:p>
          <w:p w14:paraId="6382ACFD">
            <w:pPr>
              <w:shd w:val="clear" w:color="auto" w:fill="FFFFFF"/>
              <w:adjustRightInd w:val="0"/>
              <w:snapToGrid w:val="0"/>
              <w:rPr>
                <w:rFonts w:hint="eastAsia" w:ascii="仿宋_GB2312" w:hAnsi="仿宋_GB2312" w:eastAsia="仿宋_GB2312" w:cs="仿宋_GB2312"/>
                <w:color w:val="auto"/>
                <w:sz w:val="18"/>
                <w:szCs w:val="18"/>
                <w:highlight w:val="none"/>
              </w:rPr>
            </w:pPr>
          </w:p>
          <w:p w14:paraId="11E406A0">
            <w:pPr>
              <w:shd w:val="clear" w:color="auto" w:fill="FFFFFF"/>
              <w:adjustRightInd w:val="0"/>
              <w:snapToGrid w:val="0"/>
              <w:rPr>
                <w:rFonts w:hint="eastAsia" w:ascii="仿宋_GB2312" w:hAnsi="仿宋_GB2312" w:eastAsia="仿宋_GB2312" w:cs="仿宋_GB2312"/>
                <w:color w:val="auto"/>
                <w:sz w:val="18"/>
                <w:szCs w:val="18"/>
                <w:highlight w:val="none"/>
              </w:rPr>
            </w:pPr>
          </w:p>
          <w:p w14:paraId="023B3123">
            <w:pPr>
              <w:shd w:val="clear" w:color="auto" w:fill="FFFFFF"/>
              <w:adjustRightInd w:val="0"/>
              <w:snapToGrid w:val="0"/>
              <w:rPr>
                <w:rFonts w:hint="eastAsia" w:ascii="仿宋_GB2312" w:hAnsi="仿宋_GB2312" w:eastAsia="仿宋_GB2312" w:cs="仿宋_GB2312"/>
                <w:color w:val="auto"/>
                <w:sz w:val="18"/>
                <w:szCs w:val="18"/>
                <w:highlight w:val="none"/>
              </w:rPr>
            </w:pPr>
          </w:p>
          <w:p w14:paraId="574474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D3F8E9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1.给予审核人责令作出书面检查、批评教育、取消年度评比先进资格、暂扣行政执法证件、离岗培训、调离工作岗位、取消行政执法资格以及处分等责任追究；</w:t>
            </w:r>
          </w:p>
          <w:p w14:paraId="398063C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2.给予决定人诫勉谈话、责令限期整改、责令作出书面检查、责令公开道歉、取消年度评比先进资格、通报批评、责令停职反省或者责令辞职、建议免职以及行政处分等责任追究；</w:t>
            </w:r>
          </w:p>
          <w:p w14:paraId="67FEFE7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32C1168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2A9C3FF4">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2972" w:type="dxa"/>
            <w:noWrap w:val="0"/>
            <w:vAlign w:val="center"/>
          </w:tcPr>
          <w:p w14:paraId="4454E15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3FA92D7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7F7F72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716B46A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18E24645">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787F3AF">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bl>
    <w:p w14:paraId="57D1F12C">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九、行政裁决（2项）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582"/>
        <w:gridCol w:w="630"/>
        <w:gridCol w:w="630"/>
        <w:gridCol w:w="2070"/>
        <w:gridCol w:w="585"/>
        <w:gridCol w:w="1095"/>
        <w:gridCol w:w="1695"/>
        <w:gridCol w:w="1335"/>
        <w:gridCol w:w="2235"/>
        <w:gridCol w:w="1935"/>
        <w:gridCol w:w="2717"/>
      </w:tblGrid>
      <w:tr w14:paraId="225C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1F7618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序号</w:t>
            </w:r>
          </w:p>
        </w:tc>
        <w:tc>
          <w:tcPr>
            <w:tcW w:w="582" w:type="dxa"/>
            <w:noWrap w:val="0"/>
            <w:vAlign w:val="center"/>
          </w:tcPr>
          <w:p w14:paraId="51692E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w:t>
            </w:r>
          </w:p>
          <w:p w14:paraId="53E64F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auto"/>
                <w:highlight w:val="none"/>
              </w:rPr>
            </w:pPr>
            <w:r>
              <w:rPr>
                <w:rFonts w:hint="eastAsia" w:ascii="仿宋_GB2312" w:hAnsi="仿宋_GB2312" w:eastAsia="仿宋_GB2312" w:cs="仿宋_GB2312"/>
                <w:color w:val="auto"/>
                <w:sz w:val="18"/>
                <w:szCs w:val="18"/>
                <w:highlight w:val="none"/>
                <w:vertAlign w:val="baseline"/>
                <w:lang w:val="en-US" w:eastAsia="zh-CN"/>
              </w:rPr>
              <w:t>名称</w:t>
            </w:r>
          </w:p>
        </w:tc>
        <w:tc>
          <w:tcPr>
            <w:tcW w:w="630" w:type="dxa"/>
            <w:noWrap w:val="0"/>
            <w:vAlign w:val="center"/>
          </w:tcPr>
          <w:p w14:paraId="2DA4682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子项</w:t>
            </w:r>
          </w:p>
          <w:p w14:paraId="2D0B3C0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名称</w:t>
            </w:r>
          </w:p>
        </w:tc>
        <w:tc>
          <w:tcPr>
            <w:tcW w:w="630" w:type="dxa"/>
            <w:noWrap w:val="0"/>
            <w:vAlign w:val="center"/>
          </w:tcPr>
          <w:p w14:paraId="1627D2D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基本编码</w:t>
            </w:r>
          </w:p>
        </w:tc>
        <w:tc>
          <w:tcPr>
            <w:tcW w:w="2070" w:type="dxa"/>
            <w:noWrap w:val="0"/>
            <w:vAlign w:val="center"/>
          </w:tcPr>
          <w:p w14:paraId="0B73FD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职权依据</w:t>
            </w:r>
          </w:p>
        </w:tc>
        <w:tc>
          <w:tcPr>
            <w:tcW w:w="585" w:type="dxa"/>
            <w:noWrap w:val="0"/>
            <w:vAlign w:val="center"/>
          </w:tcPr>
          <w:p w14:paraId="70E9103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行使内容</w:t>
            </w:r>
          </w:p>
        </w:tc>
        <w:tc>
          <w:tcPr>
            <w:tcW w:w="1095" w:type="dxa"/>
            <w:noWrap w:val="0"/>
            <w:vAlign w:val="center"/>
          </w:tcPr>
          <w:p w14:paraId="2329E6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阶段事项</w:t>
            </w:r>
          </w:p>
        </w:tc>
        <w:tc>
          <w:tcPr>
            <w:tcW w:w="1695" w:type="dxa"/>
            <w:noWrap w:val="0"/>
            <w:vAlign w:val="center"/>
          </w:tcPr>
          <w:p w14:paraId="6151E0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责任事项依据</w:t>
            </w:r>
          </w:p>
        </w:tc>
        <w:tc>
          <w:tcPr>
            <w:tcW w:w="1335" w:type="dxa"/>
            <w:noWrap w:val="0"/>
            <w:vAlign w:val="center"/>
          </w:tcPr>
          <w:p w14:paraId="498E9F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w:t>
            </w:r>
          </w:p>
        </w:tc>
        <w:tc>
          <w:tcPr>
            <w:tcW w:w="2235" w:type="dxa"/>
            <w:noWrap w:val="0"/>
            <w:vAlign w:val="center"/>
          </w:tcPr>
          <w:p w14:paraId="415CC0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追责情形依据</w:t>
            </w:r>
          </w:p>
        </w:tc>
        <w:tc>
          <w:tcPr>
            <w:tcW w:w="1935" w:type="dxa"/>
            <w:noWrap w:val="0"/>
            <w:vAlign w:val="center"/>
          </w:tcPr>
          <w:p w14:paraId="70E070B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w:t>
            </w:r>
          </w:p>
        </w:tc>
        <w:tc>
          <w:tcPr>
            <w:tcW w:w="2717" w:type="dxa"/>
            <w:noWrap w:val="0"/>
            <w:vAlign w:val="center"/>
          </w:tcPr>
          <w:p w14:paraId="6092684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担责方式依据</w:t>
            </w:r>
          </w:p>
        </w:tc>
      </w:tr>
      <w:tr w14:paraId="42B5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55752C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w:t>
            </w:r>
          </w:p>
        </w:tc>
        <w:tc>
          <w:tcPr>
            <w:tcW w:w="582" w:type="dxa"/>
            <w:noWrap w:val="0"/>
            <w:vAlign w:val="center"/>
          </w:tcPr>
          <w:p w14:paraId="56098851">
            <w:pPr>
              <w:jc w:val="both"/>
              <w:rPr>
                <w:rFonts w:ascii="Calibri" w:hAnsi="Calibri" w:eastAsia="宋体" w:cs="Times New Roman"/>
                <w:color w:val="auto"/>
                <w:kern w:val="2"/>
                <w:sz w:val="21"/>
                <w:szCs w:val="24"/>
                <w:highlight w:val="none"/>
                <w:lang w:val="en-US" w:eastAsia="zh-CN" w:bidi="ar-SA"/>
              </w:rPr>
            </w:pPr>
            <w:r>
              <w:rPr>
                <w:rFonts w:hint="eastAsia" w:ascii="仿宋_GB2312" w:eastAsia="仿宋_GB2312"/>
                <w:color w:val="auto"/>
                <w:sz w:val="18"/>
                <w:szCs w:val="18"/>
                <w:highlight w:val="none"/>
              </w:rPr>
              <w:t>土地权属争议裁决</w:t>
            </w:r>
          </w:p>
        </w:tc>
        <w:tc>
          <w:tcPr>
            <w:tcW w:w="630" w:type="dxa"/>
            <w:noWrap w:val="0"/>
            <w:vAlign w:val="center"/>
          </w:tcPr>
          <w:p w14:paraId="6F9F671D">
            <w:pPr>
              <w:jc w:val="both"/>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eastAsia="仿宋_GB2312"/>
                <w:color w:val="auto"/>
                <w:sz w:val="18"/>
                <w:szCs w:val="18"/>
                <w:highlight w:val="none"/>
              </w:rPr>
              <w:t>土地权属争议裁决</w:t>
            </w:r>
          </w:p>
        </w:tc>
        <w:tc>
          <w:tcPr>
            <w:tcW w:w="630" w:type="dxa"/>
            <w:noWrap w:val="0"/>
            <w:vAlign w:val="center"/>
          </w:tcPr>
          <w:p w14:paraId="48A35456">
            <w:pPr>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0912001000</w:t>
            </w:r>
          </w:p>
        </w:tc>
        <w:tc>
          <w:tcPr>
            <w:tcW w:w="2070" w:type="dxa"/>
            <w:noWrap w:val="0"/>
            <w:vAlign w:val="center"/>
          </w:tcPr>
          <w:p w14:paraId="128AB5C5">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【法律】《中华人民共和国土地管理法》（20</w:t>
            </w:r>
            <w:r>
              <w:rPr>
                <w:rFonts w:hint="eastAsia" w:ascii="仿宋_GB2312" w:eastAsia="仿宋_GB2312"/>
                <w:color w:val="auto"/>
                <w:sz w:val="18"/>
                <w:szCs w:val="18"/>
                <w:highlight w:val="none"/>
                <w:lang w:val="en-US" w:eastAsia="zh-CN"/>
              </w:rPr>
              <w:t>19</w:t>
            </w:r>
            <w:r>
              <w:rPr>
                <w:rFonts w:hint="eastAsia" w:ascii="仿宋_GB2312" w:eastAsia="仿宋_GB2312"/>
                <w:color w:val="auto"/>
                <w:sz w:val="18"/>
                <w:szCs w:val="18"/>
                <w:highlight w:val="none"/>
              </w:rPr>
              <w:t>年修改）</w:t>
            </w:r>
          </w:p>
          <w:p w14:paraId="74664E8F">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第十</w:t>
            </w:r>
            <w:r>
              <w:rPr>
                <w:rFonts w:hint="eastAsia" w:ascii="仿宋_GB2312" w:eastAsia="仿宋_GB2312"/>
                <w:color w:val="auto"/>
                <w:sz w:val="18"/>
                <w:szCs w:val="18"/>
                <w:highlight w:val="none"/>
                <w:lang w:eastAsia="zh-CN"/>
              </w:rPr>
              <w:t>四</w:t>
            </w:r>
            <w:r>
              <w:rPr>
                <w:rFonts w:hint="eastAsia" w:ascii="仿宋_GB2312" w:eastAsia="仿宋_GB2312"/>
                <w:color w:val="auto"/>
                <w:sz w:val="18"/>
                <w:szCs w:val="18"/>
                <w:highlight w:val="none"/>
              </w:rPr>
              <w:t>条 土地所有权和使用权争议，由当事人协商解决；协商不成的，由人民政府处理。</w:t>
            </w:r>
          </w:p>
          <w:p w14:paraId="52F3FBA9">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单位之间的争议，由县级以上人民政府处理；个人之间、个人与单位之间的争议，由乡级人民政府或者县级以上人民政府处理。</w:t>
            </w:r>
          </w:p>
          <w:p w14:paraId="7BB110CA">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当事人对有关人民政府的处理决定不服的，可以自接到处理决定通知之日起三十日内，向人民法院起诉。</w:t>
            </w:r>
          </w:p>
          <w:p w14:paraId="165A1F9E">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在土地所有权和使用权争议解决前，任何一方不得改变土地利用现状。</w:t>
            </w:r>
          </w:p>
          <w:p w14:paraId="51B05711">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【地方性法规】《宁夏回族自治区土地管理条例》（2012年修改）</w:t>
            </w:r>
          </w:p>
          <w:p w14:paraId="6B9C91EF">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第十一条第一款 土地所有权和使用权争议，由争议双方当事人协商解决。协商内容需要登记的，当事人应当向有土地登记权的机关申请登记。协商不成的，可以由村民委员会、乡（镇）人民政府或者县级以上人民政府土地行政主管部门进行调解；调解达成协议的，制作土地权属争议调解书，可作为土地登记的依据；调解不成的，由人民政府处理并下达处理决定，也可以经县级（含县、不设区的市、市辖区，下同）以上人民政府委托，由同级土地行政主管部门下达处理决定。</w:t>
            </w:r>
          </w:p>
          <w:p w14:paraId="21727E53">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【部门规章】《土地权属争议调查处理办法》（2010年国土资源部令第49号修正）</w:t>
            </w:r>
          </w:p>
          <w:p w14:paraId="2A903DDF">
            <w:pPr>
              <w:adjustRightInd w:val="0"/>
              <w:snapToGrid w:val="0"/>
              <w:spacing w:line="250" w:lineRule="exact"/>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 xml:space="preserve">    第四条  县级以上国土资源行政主管部门负责土地权属争议案件（以下简称争议案件）的调查和调解工作；对需要依法作出处理决定的，拟定处理意见，报同级人民政府作出处理决定。 县级以上国土资源行政主管部门可以指定专门机构或者人员负责办理争议案件有关事宜。 </w:t>
            </w:r>
          </w:p>
          <w:p w14:paraId="1BD4FB26">
            <w:pPr>
              <w:adjustRightInd w:val="0"/>
              <w:snapToGrid w:val="0"/>
              <w:spacing w:line="250" w:lineRule="exact"/>
              <w:ind w:firstLine="36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第五条 个人之间、个人与单位之间、单位与单位之间发生的争议案件，由争议土地所在地的县级国土资源行政主管部门调查处理。</w:t>
            </w:r>
          </w:p>
          <w:p w14:paraId="1C47856B">
            <w:pPr>
              <w:adjustRightInd w:val="0"/>
              <w:snapToGrid w:val="0"/>
              <w:spacing w:line="250" w:lineRule="exact"/>
              <w:ind w:firstLine="36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前款规定的个人之间、个人与单位之间发生的争议案件，可以根据当事人的申请，由乡级人民政府受理和处理。</w:t>
            </w:r>
          </w:p>
          <w:p w14:paraId="57B92AA8">
            <w:pPr>
              <w:adjustRightInd w:val="0"/>
              <w:snapToGrid w:val="0"/>
              <w:spacing w:line="250" w:lineRule="exact"/>
              <w:ind w:firstLine="360"/>
              <w:rPr>
                <w:rFonts w:ascii="仿宋_GB2312" w:eastAsia="仿宋_GB2312"/>
                <w:color w:val="auto"/>
                <w:sz w:val="18"/>
                <w:szCs w:val="18"/>
                <w:highlight w:val="none"/>
              </w:rPr>
            </w:pPr>
            <w:r>
              <w:rPr>
                <w:rFonts w:hint="eastAsia" w:ascii="仿宋_GB2312" w:eastAsia="仿宋_GB2312"/>
                <w:color w:val="auto"/>
                <w:sz w:val="18"/>
                <w:szCs w:val="18"/>
                <w:highlight w:val="none"/>
              </w:rPr>
              <w:t xml:space="preserve">第六条  </w:t>
            </w:r>
            <w:r>
              <w:rPr>
                <w:rFonts w:ascii="仿宋_GB2312" w:eastAsia="仿宋_GB2312"/>
                <w:color w:val="auto"/>
                <w:sz w:val="18"/>
                <w:szCs w:val="18"/>
                <w:highlight w:val="none"/>
              </w:rPr>
              <w:t>设区的市、</w:t>
            </w:r>
            <w:r>
              <w:rPr>
                <w:color w:val="auto"/>
                <w:sz w:val="18"/>
                <w:szCs w:val="18"/>
                <w:highlight w:val="none"/>
              </w:rPr>
              <w:fldChar w:fldCharType="begin"/>
            </w:r>
            <w:r>
              <w:rPr>
                <w:color w:val="auto"/>
                <w:sz w:val="18"/>
                <w:szCs w:val="18"/>
                <w:highlight w:val="none"/>
              </w:rPr>
              <w:instrText xml:space="preserve"> HYPERLINK "https://baike.baidu.com/item/%E8%87%AA%E6%B2%BB%E5%B7%9E" \t "https://baike.baidu.com/item/%E5%9C%9F%E5%9C%B0%E6%9D%83%E5%B1%9E%E4%BA%89%E8%AE%AE%E8%B0%83%E6%9F%A5%E5%A4%84%E7%90%86%E5%8A%9E%E6%B3%95/_blank" </w:instrText>
            </w:r>
            <w:r>
              <w:rPr>
                <w:color w:val="auto"/>
                <w:sz w:val="18"/>
                <w:szCs w:val="18"/>
                <w:highlight w:val="none"/>
              </w:rPr>
              <w:fldChar w:fldCharType="separate"/>
            </w:r>
            <w:r>
              <w:rPr>
                <w:rFonts w:ascii="仿宋_GB2312" w:eastAsia="仿宋_GB2312"/>
                <w:color w:val="auto"/>
                <w:sz w:val="18"/>
                <w:szCs w:val="18"/>
                <w:highlight w:val="none"/>
              </w:rPr>
              <w:t>自治州</w:t>
            </w:r>
            <w:r>
              <w:rPr>
                <w:rFonts w:ascii="仿宋_GB2312" w:eastAsia="仿宋_GB2312"/>
                <w:color w:val="auto"/>
                <w:sz w:val="18"/>
                <w:szCs w:val="18"/>
                <w:highlight w:val="none"/>
              </w:rPr>
              <w:fldChar w:fldCharType="end"/>
            </w:r>
            <w:r>
              <w:rPr>
                <w:rFonts w:ascii="仿宋_GB2312" w:eastAsia="仿宋_GB2312"/>
                <w:color w:val="auto"/>
                <w:sz w:val="18"/>
                <w:szCs w:val="18"/>
                <w:highlight w:val="none"/>
              </w:rPr>
              <w:t>国土资源行政主管部门调查处理下列争议案件：</w:t>
            </w:r>
          </w:p>
          <w:p w14:paraId="326F786C">
            <w:pPr>
              <w:adjustRightInd w:val="0"/>
              <w:snapToGrid w:val="0"/>
              <w:spacing w:line="250" w:lineRule="exact"/>
              <w:ind w:firstLine="360"/>
              <w:rPr>
                <w:rFonts w:ascii="仿宋_GB2312" w:eastAsia="仿宋_GB2312"/>
                <w:color w:val="auto"/>
                <w:sz w:val="18"/>
                <w:szCs w:val="18"/>
                <w:highlight w:val="none"/>
              </w:rPr>
            </w:pPr>
            <w:r>
              <w:rPr>
                <w:rFonts w:ascii="仿宋_GB2312" w:eastAsia="仿宋_GB2312"/>
                <w:color w:val="auto"/>
                <w:sz w:val="18"/>
                <w:szCs w:val="18"/>
                <w:highlight w:val="none"/>
              </w:rPr>
              <w:t>（一）跨县级行政区域的；</w:t>
            </w:r>
          </w:p>
          <w:p w14:paraId="37FFFBF6">
            <w:pPr>
              <w:adjustRightInd w:val="0"/>
              <w:snapToGrid w:val="0"/>
              <w:spacing w:line="250" w:lineRule="exact"/>
              <w:ind w:firstLine="360"/>
              <w:rPr>
                <w:rFonts w:hint="eastAsia" w:ascii="仿宋_GB2312" w:eastAsia="仿宋_GB2312"/>
                <w:color w:val="auto"/>
                <w:sz w:val="18"/>
                <w:szCs w:val="18"/>
                <w:highlight w:val="none"/>
              </w:rPr>
            </w:pPr>
            <w:r>
              <w:rPr>
                <w:rFonts w:ascii="仿宋_GB2312" w:eastAsia="仿宋_GB2312"/>
                <w:color w:val="auto"/>
                <w:sz w:val="18"/>
                <w:szCs w:val="18"/>
                <w:highlight w:val="none"/>
              </w:rPr>
              <w:t>（二）同级人民政府、上级国土资源行政主管部门交办或者有关部门转送的</w:t>
            </w:r>
            <w:r>
              <w:rPr>
                <w:rFonts w:hint="eastAsia" w:ascii="仿宋_GB2312" w:eastAsia="仿宋_GB2312"/>
                <w:color w:val="auto"/>
                <w:sz w:val="18"/>
                <w:szCs w:val="18"/>
                <w:highlight w:val="none"/>
              </w:rPr>
              <w:t>。</w:t>
            </w:r>
          </w:p>
          <w:p w14:paraId="49151011">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第七条 省、自治区、直辖市国土资源行政主管部门调查处理下列争议案件：</w:t>
            </w:r>
          </w:p>
          <w:p w14:paraId="3679E312">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(一)跨设区的市、自治州行政区域的；</w:t>
            </w:r>
          </w:p>
          <w:p w14:paraId="79040ABA">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(二)争议一方为中央国家机关或者其直属单位，且涉及土地面积较大的；</w:t>
            </w:r>
          </w:p>
          <w:p w14:paraId="75843E6D">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(三)争议一方为军队，且涉及土地面积较大的；</w:t>
            </w:r>
          </w:p>
          <w:p w14:paraId="12E2ABEF">
            <w:pPr>
              <w:adjustRightInd w:val="0"/>
              <w:snapToGrid w:val="0"/>
              <w:spacing w:line="250" w:lineRule="exact"/>
              <w:ind w:firstLine="360" w:firstLineChars="200"/>
              <w:rPr>
                <w:rFonts w:hint="eastAsia" w:ascii="仿宋_GB2312" w:eastAsia="仿宋_GB2312"/>
                <w:color w:val="auto"/>
                <w:sz w:val="18"/>
                <w:szCs w:val="18"/>
                <w:highlight w:val="none"/>
              </w:rPr>
            </w:pPr>
            <w:r>
              <w:rPr>
                <w:rFonts w:hint="eastAsia" w:ascii="仿宋_GB2312" w:eastAsia="仿宋_GB2312"/>
                <w:color w:val="auto"/>
                <w:sz w:val="18"/>
                <w:szCs w:val="18"/>
                <w:highlight w:val="none"/>
              </w:rPr>
              <w:t>(四)在本行政区域内有较大影响的；</w:t>
            </w:r>
          </w:p>
          <w:p w14:paraId="137AC724">
            <w:pPr>
              <w:spacing w:line="250" w:lineRule="exact"/>
              <w:ind w:firstLine="36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eastAsia="仿宋_GB2312"/>
                <w:color w:val="auto"/>
                <w:sz w:val="18"/>
                <w:szCs w:val="18"/>
                <w:highlight w:val="none"/>
              </w:rPr>
              <w:t>(五)同级人民政府、国土资源部交办或者有关部门转送的。</w:t>
            </w:r>
          </w:p>
        </w:tc>
        <w:tc>
          <w:tcPr>
            <w:tcW w:w="585" w:type="dxa"/>
            <w:noWrap w:val="0"/>
            <w:vAlign w:val="center"/>
          </w:tcPr>
          <w:p w14:paraId="59D3E508">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eastAsia="仿宋_GB2312"/>
                <w:color w:val="auto"/>
                <w:sz w:val="18"/>
                <w:szCs w:val="18"/>
                <w:highlight w:val="none"/>
              </w:rPr>
              <w:t>按照属地原则办理</w:t>
            </w:r>
          </w:p>
        </w:tc>
        <w:tc>
          <w:tcPr>
            <w:tcW w:w="1095" w:type="dxa"/>
            <w:noWrap w:val="0"/>
            <w:vAlign w:val="center"/>
          </w:tcPr>
          <w:p w14:paraId="0015AA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1.受理责任：公示依法应当公示的材料，一次性告知需要补正的材料，依法受理或不予受理（不予受理应当告知理由）。</w:t>
            </w:r>
          </w:p>
          <w:p w14:paraId="52E4CFF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理责任：通知争议的申请人及对方当事人，并要求对方当事人在规定的期限内提交答辩书及有关证据材料：收到答辩书后，对争议的事实、证据材料进行审查，针对疑问情况或经当事人请求，举行公开听证，由当事人双方当面陈述案情，进行辩论、举证、质证，以查明案情。</w:t>
            </w:r>
          </w:p>
          <w:p w14:paraId="166B5A2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3.裁决责任：根据事实和法律、法规作出裁决，制作并向双方当事人送达的裁决书（说明裁决的理由和依据，并告知当事人能否向法院起诉的权利及行使诉权的期限）。</w:t>
            </w:r>
          </w:p>
          <w:p w14:paraId="10DCA48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4.执行责任：裁决生效后，争议当事人应当自觉履行。</w:t>
            </w:r>
          </w:p>
          <w:p w14:paraId="3CD07E3A">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95" w:type="dxa"/>
            <w:noWrap w:val="0"/>
            <w:vAlign w:val="center"/>
          </w:tcPr>
          <w:p w14:paraId="7B37079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1．参照</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6A8011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参照《行政复议法》第二十三条“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14:paraId="68BF0E2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3．参照《行政复议法》第二十八条“行政复议机关负责法制工作的机构应当对被申请人作出的具体行政行为进行审查，提出意见…．”</w:t>
            </w:r>
          </w:p>
          <w:p w14:paraId="72CB5A2F">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4．参照《行政复议法》第三十二条“被申请人应当履行行政复议决定。被申请人不履行或者无正当理由拖延履行行政复议决定的，行政复议机关或者有关上级行政机关应当责令其限期履行。”</w:t>
            </w:r>
          </w:p>
        </w:tc>
        <w:tc>
          <w:tcPr>
            <w:tcW w:w="1335" w:type="dxa"/>
            <w:noWrap w:val="0"/>
            <w:vAlign w:val="center"/>
          </w:tcPr>
          <w:p w14:paraId="5A0C359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766BA35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1.对符合条件的争议裁决申请不予受理、裁决的；</w:t>
            </w:r>
          </w:p>
          <w:p w14:paraId="5BDA429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2.对不符合法定条件的争议裁决申请受理、裁决的；</w:t>
            </w:r>
          </w:p>
          <w:p w14:paraId="3D8A309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3.因裁决不当给行政相对人造成损失的；</w:t>
            </w:r>
          </w:p>
          <w:p w14:paraId="5108728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4.没有法律和事实依据进行行政裁决的；</w:t>
            </w:r>
          </w:p>
          <w:p w14:paraId="5F8344D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5.符合听证条件、当事人要求听证，应予组织听证而不组织听证的；</w:t>
            </w:r>
          </w:p>
          <w:p w14:paraId="018DF03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6.在裁决工作中玩忽职守、滥用职权的：</w:t>
            </w:r>
          </w:p>
          <w:p w14:paraId="76F0E8C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7.在行政裁决过程中发生腐败行为的；</w:t>
            </w:r>
          </w:p>
          <w:p w14:paraId="061D595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6254A1B5">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9.其他违反法律法规规章文件规定的行为。</w:t>
            </w:r>
          </w:p>
        </w:tc>
        <w:tc>
          <w:tcPr>
            <w:tcW w:w="2235" w:type="dxa"/>
            <w:noWrap w:val="0"/>
            <w:vAlign w:val="center"/>
          </w:tcPr>
          <w:p w14:paraId="23558E6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70A471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64B90F37">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3D21B50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1FB5EC1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50CDC01F">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935" w:type="dxa"/>
            <w:noWrap w:val="0"/>
            <w:vAlign w:val="center"/>
          </w:tcPr>
          <w:p w14:paraId="06FCF4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316986B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0BB4C51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30B383A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58A8CBE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597DCB5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5.其他法律法规规章文件规定的责任承担方式。</w:t>
            </w:r>
          </w:p>
        </w:tc>
        <w:tc>
          <w:tcPr>
            <w:tcW w:w="2717" w:type="dxa"/>
            <w:noWrap w:val="0"/>
            <w:vAlign w:val="top"/>
          </w:tcPr>
          <w:p w14:paraId="11B9296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2D8926CA">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5AA7D5A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60EF2C76">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8F44E89">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02DE666">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16C97A4E">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4E96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59FCEE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2</w:t>
            </w:r>
          </w:p>
        </w:tc>
        <w:tc>
          <w:tcPr>
            <w:tcW w:w="582" w:type="dxa"/>
            <w:noWrap w:val="0"/>
            <w:vAlign w:val="center"/>
          </w:tcPr>
          <w:p w14:paraId="00DF6E96">
            <w:pPr>
              <w:spacing w:line="240" w:lineRule="exac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林木、林地所有权和使用权争议裁决</w:t>
            </w:r>
          </w:p>
        </w:tc>
        <w:tc>
          <w:tcPr>
            <w:tcW w:w="630" w:type="dxa"/>
            <w:noWrap w:val="0"/>
            <w:vAlign w:val="center"/>
          </w:tcPr>
          <w:p w14:paraId="307A1846">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2D44FB2F">
            <w:pPr>
              <w:spacing w:line="240" w:lineRule="exact"/>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0922001000</w:t>
            </w:r>
          </w:p>
        </w:tc>
        <w:tc>
          <w:tcPr>
            <w:tcW w:w="2070" w:type="dxa"/>
            <w:noWrap w:val="0"/>
            <w:vAlign w:val="center"/>
          </w:tcPr>
          <w:p w14:paraId="1FBAE657">
            <w:pPr>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【法律】《中华人民共和国森林法》（20</w:t>
            </w:r>
            <w:r>
              <w:rPr>
                <w:rFonts w:hint="eastAsia" w:ascii="仿宋_GB2312" w:hAnsi="仿宋_GB2312" w:eastAsia="仿宋_GB2312" w:cs="仿宋_GB2312"/>
                <w:color w:val="auto"/>
                <w:sz w:val="18"/>
                <w:szCs w:val="18"/>
                <w:highlight w:val="none"/>
                <w:lang w:val="en-US" w:eastAsia="zh-CN"/>
              </w:rPr>
              <w:t>19</w:t>
            </w:r>
            <w:r>
              <w:rPr>
                <w:rFonts w:hint="eastAsia" w:ascii="仿宋_GB2312" w:hAnsi="仿宋_GB2312" w:eastAsia="仿宋_GB2312" w:cs="仿宋_GB2312"/>
                <w:color w:val="auto"/>
                <w:sz w:val="18"/>
                <w:szCs w:val="18"/>
                <w:highlight w:val="none"/>
              </w:rPr>
              <w:t>年修</w:t>
            </w:r>
            <w:r>
              <w:rPr>
                <w:rFonts w:hint="eastAsia" w:ascii="仿宋_GB2312" w:hAnsi="仿宋_GB2312" w:eastAsia="仿宋_GB2312" w:cs="仿宋_GB2312"/>
                <w:color w:val="auto"/>
                <w:sz w:val="18"/>
                <w:szCs w:val="18"/>
                <w:highlight w:val="none"/>
                <w:lang w:eastAsia="zh-CN"/>
              </w:rPr>
              <w:t>订</w:t>
            </w:r>
            <w:r>
              <w:rPr>
                <w:rFonts w:hint="eastAsia" w:ascii="仿宋_GB2312" w:hAnsi="仿宋_GB2312" w:eastAsia="仿宋_GB2312" w:cs="仿宋_GB2312"/>
                <w:color w:val="auto"/>
                <w:sz w:val="18"/>
                <w:szCs w:val="18"/>
                <w:highlight w:val="none"/>
              </w:rPr>
              <w:t>）</w:t>
            </w:r>
          </w:p>
          <w:p w14:paraId="324CC54D">
            <w:pPr>
              <w:spacing w:line="240" w:lineRule="exact"/>
              <w:ind w:firstLine="360" w:firstLineChars="200"/>
              <w:rPr>
                <w:rFonts w:hint="eastAsia" w:ascii="仿宋_GB2312" w:hAnsi="仿宋_GB2312" w:eastAsia="仿宋_GB2312" w:cs="仿宋_GB2312"/>
                <w:color w:val="auto"/>
                <w:kern w:val="2"/>
                <w:sz w:val="18"/>
                <w:szCs w:val="18"/>
                <w:highlight w:val="none"/>
                <w:lang w:val="en-US" w:eastAsia="zh-CN"/>
              </w:rPr>
            </w:pPr>
            <w:r>
              <w:rPr>
                <w:rFonts w:hint="eastAsia" w:ascii="仿宋_GB2312" w:hAnsi="仿宋_GB2312" w:eastAsia="仿宋_GB2312" w:cs="仿宋_GB2312"/>
                <w:color w:val="auto"/>
                <w:kern w:val="2"/>
                <w:sz w:val="18"/>
                <w:szCs w:val="18"/>
                <w:highlight w:val="none"/>
                <w:lang w:val="en-US" w:eastAsia="zh-CN"/>
              </w:rPr>
              <w:t>第二十二条 单位之间发生的林木、林地所有权和使用权争议，由县级以上人民政府依法处理。个人之间、个人与单位之间发生的林木所有权和林地使用权争议，由乡镇人民政府或者县级以上人民政府依法处理。当事人对有关人民政府的处理决定不服的，可以自接到处理决定通知之日起三十日内，向人民法院起诉。在林木、林地权属争议解决前，除因森林防火、林业有害生物防治、国家重大基础设施建设等需要外，当事人任何一方不得砍伐有争议的林木或者改变林地现状。</w:t>
            </w:r>
          </w:p>
          <w:p w14:paraId="4D346E9D">
            <w:pPr>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【部门规章】《林木林地权属争议处理办法》（1996年林业部令第10号））</w:t>
            </w:r>
          </w:p>
          <w:p w14:paraId="09BF98C8">
            <w:pPr>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第四条 林权争议由各级人民政府依法作出处理决定。林业部、地方各级人民政府林业行政主管部门或者人民政府设立的林权争议处理机构（以下统称林权争议处理机构）按照管理权限分别负责办理林权争议处理的具体工作。</w:t>
            </w:r>
          </w:p>
          <w:p w14:paraId="68B20EF9">
            <w:pPr>
              <w:spacing w:line="240" w:lineRule="exact"/>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【地方政府规章】《宁夏回族自治区林地管理办法》（20</w:t>
            </w:r>
            <w:r>
              <w:rPr>
                <w:rFonts w:hint="eastAsia" w:ascii="仿宋_GB2312" w:hAnsi="仿宋_GB2312" w:eastAsia="仿宋_GB2312" w:cs="仿宋_GB2312"/>
                <w:color w:val="auto"/>
                <w:sz w:val="18"/>
                <w:szCs w:val="18"/>
                <w:highlight w:val="none"/>
                <w:lang w:val="en-US" w:eastAsia="zh-CN"/>
              </w:rPr>
              <w:t>10</w:t>
            </w:r>
            <w:r>
              <w:rPr>
                <w:rFonts w:hint="eastAsia" w:ascii="仿宋_GB2312" w:hAnsi="仿宋_GB2312" w:eastAsia="仿宋_GB2312" w:cs="仿宋_GB2312"/>
                <w:color w:val="auto"/>
                <w:sz w:val="18"/>
                <w:szCs w:val="18"/>
                <w:highlight w:val="none"/>
              </w:rPr>
              <w:t>年）</w:t>
            </w:r>
          </w:p>
          <w:p w14:paraId="38051641">
            <w:pPr>
              <w:spacing w:line="250" w:lineRule="exact"/>
              <w:ind w:firstLine="360" w:firstLineChars="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第十七条第一款 林地所有权或使用权发生争议，应当按照《森林法》及有关法律、法规、规章的规定处理。</w:t>
            </w:r>
          </w:p>
        </w:tc>
        <w:tc>
          <w:tcPr>
            <w:tcW w:w="585" w:type="dxa"/>
            <w:noWrap w:val="0"/>
            <w:vAlign w:val="center"/>
          </w:tcPr>
          <w:p w14:paraId="62991B7E">
            <w:pPr>
              <w:adjustRightInd w:val="0"/>
              <w:snapToGrid w:val="0"/>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林木、林地所有权和使用权争议裁决</w:t>
            </w:r>
          </w:p>
        </w:tc>
        <w:tc>
          <w:tcPr>
            <w:tcW w:w="1095" w:type="dxa"/>
            <w:noWrap w:val="0"/>
            <w:vAlign w:val="center"/>
          </w:tcPr>
          <w:p w14:paraId="6B4EBB1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1.受理责任：公示依法应当公示的材料，一次性告知需要补正的材料，依法受理或不予受理（不予受理应当告知理由）。</w:t>
            </w:r>
          </w:p>
          <w:p w14:paraId="5DB4926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理责任：通知争议的申请人及对方当事人，并要求对方当事人在规定的期限内提交答辩书及有关证据材料：收到答辩书后，对争议的事实、证据材料进行审查，针对疑问情况或经当事人请求，举行公开听证，由当事人双方当面陈述案情，进行辩论、举证、质证，以查明案情。</w:t>
            </w:r>
          </w:p>
          <w:p w14:paraId="18D53F6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3.裁决责任：根据事实和法律、法规作出裁决，制作并向双方当事人送达的裁决书（说明裁决的理由和依据，并告知当事人能否向法院起诉的权利及行使诉权的期限）。</w:t>
            </w:r>
          </w:p>
          <w:p w14:paraId="1954EB7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4.执行责任：裁决生效后，争议当事人应当自觉履行。</w:t>
            </w:r>
          </w:p>
          <w:p w14:paraId="5170331B">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695" w:type="dxa"/>
            <w:noWrap w:val="0"/>
            <w:vAlign w:val="center"/>
          </w:tcPr>
          <w:p w14:paraId="179F60B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1．参照</w:t>
            </w:r>
            <w:r>
              <w:rPr>
                <w:rFonts w:hint="eastAsia" w:ascii="仿宋_GB2312" w:hAnsi="仿宋_GB2312" w:eastAsia="仿宋_GB2312" w:cs="仿宋_GB2312"/>
                <w:color w:val="auto"/>
                <w:sz w:val="18"/>
                <w:szCs w:val="18"/>
                <w:highlight w:val="none"/>
                <w:lang w:eastAsia="zh-CN"/>
              </w:rPr>
              <w:t>《中华人民共和国行政许可法》</w:t>
            </w:r>
            <w:r>
              <w:rPr>
                <w:rFonts w:hint="eastAsia" w:ascii="仿宋_GB2312" w:hAnsi="仿宋_GB2312" w:eastAsia="仿宋_GB2312" w:cs="仿宋_GB2312"/>
                <w:color w:val="auto"/>
                <w:sz w:val="18"/>
                <w:szCs w:val="18"/>
                <w:highlight w:val="none"/>
              </w:rPr>
              <w:t>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C1B666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参照《行政复议法》第二十三条“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14:paraId="0EDE372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3．参照《行政复议法》第二十八条“行政复议机关负责法制工作的机构应当对被申请人作出的具体行政行为进行审查，提出意见…．”</w:t>
            </w:r>
          </w:p>
          <w:p w14:paraId="2712BB19">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4．参照《行政复议法》第三十二条“被申请人应当履行行政复议决定。被申请人不履行或者无正当理由拖延履行行政复议决定的，行政复议机关或者有关上级行政机关应当责令其限期履行。”</w:t>
            </w:r>
          </w:p>
        </w:tc>
        <w:tc>
          <w:tcPr>
            <w:tcW w:w="1335" w:type="dxa"/>
            <w:noWrap w:val="0"/>
            <w:vAlign w:val="center"/>
          </w:tcPr>
          <w:p w14:paraId="1A3C201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7BAFD0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1.对符合条件的争议裁决申请不予受理、裁决的；</w:t>
            </w:r>
          </w:p>
          <w:p w14:paraId="03ABE0B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2.对不符合法定条件的争议裁决申请受理、裁决的；</w:t>
            </w:r>
          </w:p>
          <w:p w14:paraId="669E8A8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3.因裁决不当给行政相对人造成损失的；</w:t>
            </w:r>
          </w:p>
          <w:p w14:paraId="71DD8E9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4.没有法律和事实依据进行行政裁决的；</w:t>
            </w:r>
          </w:p>
          <w:p w14:paraId="3F4E3B7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5.符合听证条件、当事人要求听证，应予组织听证而不组织听证的；</w:t>
            </w:r>
          </w:p>
          <w:p w14:paraId="3BAD389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6.在裁决工作中玩忽职守、滥用职权的：</w:t>
            </w:r>
          </w:p>
          <w:p w14:paraId="2553A96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7.在行政裁决过程中发生腐败行为的；</w:t>
            </w:r>
          </w:p>
          <w:p w14:paraId="36AEF1F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8.未按裁量权规定，滥用裁量权的；</w:t>
            </w:r>
          </w:p>
          <w:p w14:paraId="1A7F2519">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9.其他违反法律法规规章文件规定的行为。</w:t>
            </w:r>
          </w:p>
        </w:tc>
        <w:tc>
          <w:tcPr>
            <w:tcW w:w="2235" w:type="dxa"/>
            <w:noWrap w:val="0"/>
            <w:vAlign w:val="center"/>
          </w:tcPr>
          <w:p w14:paraId="0791F3E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60561BB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1E2E481E">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7678AA0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259E353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3380C9C0">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935" w:type="dxa"/>
            <w:noWrap w:val="0"/>
            <w:vAlign w:val="center"/>
          </w:tcPr>
          <w:p w14:paraId="20BA5A3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9F8A41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670065B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2.给予审核人和批准人诫勉谈话、责令限期整改、责令作出书面检查、责令公开道歉、取消年度评比先进资格、通报批评、责令停职反省或者责令辞职、建议免职以及行政处分等责任追究；</w:t>
            </w:r>
          </w:p>
          <w:p w14:paraId="1BDEF32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3.给予行政机关责令限期整改、通报批评、取消评比先进资格等责任追究；</w:t>
            </w:r>
          </w:p>
          <w:p w14:paraId="2C700C9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4.对违反党纪的工作人员（中共党员）给予党纪处分，对构成犯罪的工作人员，移交司法机关，依法追究刑事责任；</w:t>
            </w:r>
          </w:p>
          <w:p w14:paraId="4E6D5F5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5.其他法律法规规章文件规定的责任承担方式。</w:t>
            </w:r>
          </w:p>
          <w:p w14:paraId="7EFE5630">
            <w:pPr>
              <w:shd w:val="clear" w:color="auto" w:fill="FFFFFF"/>
              <w:adjustRightInd w:val="0"/>
              <w:snapToGrid w:val="0"/>
              <w:rPr>
                <w:rFonts w:hint="eastAsia" w:ascii="仿宋_GB2312" w:hAnsi="仿宋_GB2312" w:eastAsia="仿宋_GB2312" w:cs="仿宋_GB2312"/>
                <w:color w:val="auto"/>
                <w:sz w:val="18"/>
                <w:szCs w:val="18"/>
                <w:highlight w:val="none"/>
              </w:rPr>
            </w:pPr>
          </w:p>
          <w:p w14:paraId="1B26D96B">
            <w:pPr>
              <w:shd w:val="clear" w:color="auto" w:fill="FFFFFF"/>
              <w:adjustRightInd w:val="0"/>
              <w:snapToGrid w:val="0"/>
              <w:rPr>
                <w:rFonts w:hint="eastAsia" w:ascii="仿宋_GB2312" w:hAnsi="仿宋_GB2312" w:eastAsia="仿宋_GB2312" w:cs="仿宋_GB2312"/>
                <w:color w:val="auto"/>
                <w:sz w:val="18"/>
                <w:szCs w:val="18"/>
                <w:highlight w:val="none"/>
              </w:rPr>
            </w:pPr>
          </w:p>
          <w:p w14:paraId="5A0CE5E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c>
          <w:tcPr>
            <w:tcW w:w="2717" w:type="dxa"/>
            <w:noWrap w:val="0"/>
            <w:vAlign w:val="top"/>
          </w:tcPr>
          <w:p w14:paraId="35CBFDFE">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06D1AAB">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73C3D13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3A497C8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2A233B3D">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CFB30CD">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B262BBB">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bl>
    <w:p w14:paraId="02E82B11">
      <w:pPr>
        <w:jc w:val="center"/>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十、其他类（4项）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42"/>
        <w:gridCol w:w="630"/>
        <w:gridCol w:w="630"/>
        <w:gridCol w:w="2010"/>
        <w:gridCol w:w="645"/>
        <w:gridCol w:w="1485"/>
        <w:gridCol w:w="1380"/>
        <w:gridCol w:w="1185"/>
        <w:gridCol w:w="2400"/>
        <w:gridCol w:w="1575"/>
        <w:gridCol w:w="2927"/>
      </w:tblGrid>
      <w:tr w14:paraId="4E82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01" w:type="dxa"/>
            <w:noWrap w:val="0"/>
            <w:vAlign w:val="center"/>
          </w:tcPr>
          <w:p w14:paraId="2006B3C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序号</w:t>
            </w:r>
          </w:p>
        </w:tc>
        <w:tc>
          <w:tcPr>
            <w:tcW w:w="642" w:type="dxa"/>
            <w:noWrap w:val="0"/>
            <w:vAlign w:val="center"/>
          </w:tcPr>
          <w:p w14:paraId="3E1284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w:t>
            </w:r>
          </w:p>
          <w:p w14:paraId="11065E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color w:val="auto"/>
                <w:highlight w:val="none"/>
              </w:rPr>
            </w:pPr>
            <w:r>
              <w:rPr>
                <w:rFonts w:hint="eastAsia" w:ascii="仿宋_GB2312" w:hAnsi="仿宋_GB2312" w:eastAsia="仿宋_GB2312" w:cs="仿宋_GB2312"/>
                <w:color w:val="auto"/>
                <w:sz w:val="18"/>
                <w:szCs w:val="18"/>
                <w:highlight w:val="none"/>
                <w:vertAlign w:val="baseline"/>
                <w:lang w:val="en-US" w:eastAsia="zh-CN"/>
              </w:rPr>
              <w:t>名称</w:t>
            </w:r>
          </w:p>
        </w:tc>
        <w:tc>
          <w:tcPr>
            <w:tcW w:w="630" w:type="dxa"/>
            <w:noWrap w:val="0"/>
            <w:vAlign w:val="center"/>
          </w:tcPr>
          <w:p w14:paraId="4A2404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子项</w:t>
            </w:r>
          </w:p>
          <w:p w14:paraId="4A6A25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名称</w:t>
            </w:r>
          </w:p>
        </w:tc>
        <w:tc>
          <w:tcPr>
            <w:tcW w:w="630" w:type="dxa"/>
            <w:noWrap w:val="0"/>
            <w:vAlign w:val="center"/>
          </w:tcPr>
          <w:p w14:paraId="26E2BA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基本编码</w:t>
            </w:r>
          </w:p>
        </w:tc>
        <w:tc>
          <w:tcPr>
            <w:tcW w:w="2010" w:type="dxa"/>
            <w:noWrap w:val="0"/>
            <w:vAlign w:val="center"/>
          </w:tcPr>
          <w:p w14:paraId="42575E0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职权依据</w:t>
            </w:r>
          </w:p>
        </w:tc>
        <w:tc>
          <w:tcPr>
            <w:tcW w:w="645" w:type="dxa"/>
            <w:noWrap w:val="0"/>
            <w:vAlign w:val="center"/>
          </w:tcPr>
          <w:p w14:paraId="715FB03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行使内容</w:t>
            </w:r>
          </w:p>
        </w:tc>
        <w:tc>
          <w:tcPr>
            <w:tcW w:w="1485" w:type="dxa"/>
            <w:noWrap w:val="0"/>
            <w:vAlign w:val="center"/>
          </w:tcPr>
          <w:p w14:paraId="70B0ED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w:t>
            </w:r>
          </w:p>
        </w:tc>
        <w:tc>
          <w:tcPr>
            <w:tcW w:w="1380" w:type="dxa"/>
            <w:noWrap w:val="0"/>
            <w:vAlign w:val="center"/>
          </w:tcPr>
          <w:p w14:paraId="71D9B6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责任事项依据</w:t>
            </w:r>
          </w:p>
        </w:tc>
        <w:tc>
          <w:tcPr>
            <w:tcW w:w="1185" w:type="dxa"/>
            <w:noWrap w:val="0"/>
            <w:vAlign w:val="center"/>
          </w:tcPr>
          <w:p w14:paraId="78F497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w:t>
            </w:r>
          </w:p>
        </w:tc>
        <w:tc>
          <w:tcPr>
            <w:tcW w:w="2400" w:type="dxa"/>
            <w:noWrap w:val="0"/>
            <w:vAlign w:val="center"/>
          </w:tcPr>
          <w:p w14:paraId="4B6D53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追责情形依据</w:t>
            </w:r>
          </w:p>
        </w:tc>
        <w:tc>
          <w:tcPr>
            <w:tcW w:w="1575" w:type="dxa"/>
            <w:noWrap w:val="0"/>
            <w:vAlign w:val="center"/>
          </w:tcPr>
          <w:p w14:paraId="4D2CC9E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w:t>
            </w:r>
          </w:p>
        </w:tc>
        <w:tc>
          <w:tcPr>
            <w:tcW w:w="2927" w:type="dxa"/>
            <w:noWrap w:val="0"/>
            <w:vAlign w:val="center"/>
          </w:tcPr>
          <w:p w14:paraId="10D101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sz w:val="18"/>
                <w:szCs w:val="18"/>
                <w:highlight w:val="none"/>
                <w:vertAlign w:val="baseline"/>
                <w:lang w:val="en-US" w:eastAsia="zh-CN"/>
              </w:rPr>
            </w:pPr>
            <w:r>
              <w:rPr>
                <w:rFonts w:hint="eastAsia" w:ascii="仿宋_GB2312" w:hAnsi="仿宋_GB2312" w:eastAsia="仿宋_GB2312" w:cs="仿宋_GB2312"/>
                <w:color w:val="auto"/>
                <w:sz w:val="18"/>
                <w:szCs w:val="18"/>
                <w:highlight w:val="none"/>
                <w:vertAlign w:val="baseline"/>
                <w:lang w:val="en-US" w:eastAsia="zh-CN"/>
              </w:rPr>
              <w:t>担责方式依据</w:t>
            </w:r>
          </w:p>
        </w:tc>
      </w:tr>
      <w:tr w14:paraId="1018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329991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1</w:t>
            </w:r>
          </w:p>
        </w:tc>
        <w:tc>
          <w:tcPr>
            <w:tcW w:w="642" w:type="dxa"/>
            <w:noWrap w:val="0"/>
            <w:vAlign w:val="center"/>
          </w:tcPr>
          <w:p w14:paraId="5D6C0AE1">
            <w:pPr>
              <w:adjustRightInd w:val="0"/>
              <w:snapToGrid w:val="0"/>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城市易地绿化建设批准及补偿费收取</w:t>
            </w:r>
          </w:p>
        </w:tc>
        <w:tc>
          <w:tcPr>
            <w:tcW w:w="630" w:type="dxa"/>
            <w:noWrap w:val="0"/>
            <w:vAlign w:val="center"/>
          </w:tcPr>
          <w:p w14:paraId="2E9E510A">
            <w:pPr>
              <w:jc w:val="both"/>
              <w:rPr>
                <w:rFonts w:hint="default"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2BCBC9EF">
            <w:pPr>
              <w:adjustRightInd w:val="0"/>
              <w:snapToGrid w:val="0"/>
              <w:jc w:val="center"/>
              <w:rPr>
                <w:rFonts w:hint="default"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1014037000</w:t>
            </w:r>
          </w:p>
        </w:tc>
        <w:tc>
          <w:tcPr>
            <w:tcW w:w="2010" w:type="dxa"/>
            <w:noWrap w:val="0"/>
            <w:vAlign w:val="center"/>
          </w:tcPr>
          <w:p w14:paraId="3052C760">
            <w:pPr>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【行政法规】《城市绿化条例》（2017年国务院令第676号修订）</w:t>
            </w:r>
          </w:p>
          <w:p w14:paraId="00AC7C9D">
            <w:pPr>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第十六条城市新建、扩建、改建工程项目和开发住宅区项目，需要绿化的，其基本建设投资中应当包括配套的绿化建设投资，并统一安排绿化工程施工，在规定的期限内完成绿化任务。</w:t>
            </w:r>
          </w:p>
          <w:p w14:paraId="69331E85">
            <w:pPr>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【地方性法规】《宁夏回族自治区城市绿化管理条例》(2015年修正)</w:t>
            </w:r>
          </w:p>
          <w:p w14:paraId="248DD555">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七条工程建设项目除商业区、居住区外，确因特殊原因不能按照绿化规划进行绿化建设的，须经城市绿化行政主管部门批准，并按照所缺绿化建设面积缴纳绿化补偿费，由城市绿化行政主管部门统一进行绿化建设。</w:t>
            </w:r>
          </w:p>
        </w:tc>
        <w:tc>
          <w:tcPr>
            <w:tcW w:w="645" w:type="dxa"/>
            <w:noWrap w:val="0"/>
            <w:vAlign w:val="center"/>
          </w:tcPr>
          <w:p w14:paraId="16BB5573">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城市易地绿化建设批准及补偿费收取</w:t>
            </w:r>
          </w:p>
        </w:tc>
        <w:tc>
          <w:tcPr>
            <w:tcW w:w="1485" w:type="dxa"/>
            <w:noWrap w:val="0"/>
            <w:vAlign w:val="center"/>
          </w:tcPr>
          <w:p w14:paraId="563D3FF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1.受理责任：依法对申请材料进行受理。                        </w:t>
            </w:r>
          </w:p>
          <w:p w14:paraId="2EF877D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2.审查责任：按照法定的条件和程序对提交材料进行审查，提出审查意见。</w:t>
            </w:r>
          </w:p>
          <w:p w14:paraId="2BDB648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3.决定责任：作出核准或不予核准的决定，法定告知。</w:t>
            </w:r>
          </w:p>
          <w:p w14:paraId="39C9474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4.事后监管责任：加强后续监督管理工作。</w:t>
            </w:r>
          </w:p>
          <w:p w14:paraId="25B140A7">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380" w:type="dxa"/>
            <w:noWrap w:val="0"/>
            <w:vAlign w:val="center"/>
          </w:tcPr>
          <w:p w14:paraId="175FEFC8">
            <w:pP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1、【行政法规】《城市绿化条例》（2017年国务院令第676号修订）</w:t>
            </w:r>
          </w:p>
          <w:p w14:paraId="628DB513">
            <w:pPr>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第十六条城市新建、扩建、改建工程项目和开发住宅区项目，需要绿化的，其基本建设投资中应当包括配套的绿化建设投资，并统一安排绿化工程施工，在规定的期限内完成绿化任务。</w:t>
            </w:r>
          </w:p>
          <w:p w14:paraId="65BB84B7">
            <w:pPr>
              <w:adjustRightInd w:val="0"/>
              <w:snapToGrid w:val="0"/>
              <w:ind w:firstLine="360" w:firstLineChars="200"/>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2、【地方性法规】《宁夏回族自治区城市绿化管理条例》(2015年修正)</w:t>
            </w:r>
          </w:p>
          <w:p w14:paraId="71226633">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十七条工程建设项目除商业区、居住区外，确因特殊原因不能按照绿化规划进行绿化建设的，须经城市绿化行政主管部门批准，并按照所缺绿化建设面积缴纳绿化补偿费，由城市绿化行政主管部门统一进行绿化建设。</w:t>
            </w:r>
          </w:p>
        </w:tc>
        <w:tc>
          <w:tcPr>
            <w:tcW w:w="1185" w:type="dxa"/>
            <w:noWrap w:val="0"/>
            <w:vAlign w:val="center"/>
          </w:tcPr>
          <w:p w14:paraId="20CC2DB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57D7D69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1.对符合受理条件的申请不予受理的；</w:t>
            </w:r>
          </w:p>
          <w:p w14:paraId="1C5BA63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2.未严格按照相关法律、法规履行审查义务的；</w:t>
            </w:r>
          </w:p>
          <w:p w14:paraId="5562934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3.不依法履行监督职责或者监督不力的；</w:t>
            </w:r>
          </w:p>
          <w:p w14:paraId="3DE45AE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4.滥用职权、徇私舞弊、玩忽职守的；</w:t>
            </w:r>
          </w:p>
          <w:p w14:paraId="2770132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5.索贿、受贿，谋取不正当利益的；</w:t>
            </w:r>
          </w:p>
          <w:p w14:paraId="381BCF28">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2400" w:type="dxa"/>
            <w:noWrap w:val="0"/>
            <w:vAlign w:val="center"/>
          </w:tcPr>
          <w:p w14:paraId="7EDD6F8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708ADA2F">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11DB632B">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3DCBED8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244F76A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439A4322">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575" w:type="dxa"/>
            <w:noWrap w:val="0"/>
            <w:vAlign w:val="center"/>
          </w:tcPr>
          <w:p w14:paraId="1616FEF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117B406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94D742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w:t>
            </w:r>
            <w:r>
              <w:rPr>
                <w:rFonts w:hint="eastAsia" w:ascii="仿宋_GB2312" w:hAnsi="仿宋_GB2312" w:eastAsia="仿宋_GB2312" w:cs="仿宋_GB2312"/>
                <w:color w:val="auto"/>
                <w:kern w:val="0"/>
                <w:sz w:val="18"/>
                <w:szCs w:val="18"/>
                <w:highlight w:val="none"/>
              </w:rPr>
              <w:t>行政机关</w:t>
            </w:r>
            <w:r>
              <w:rPr>
                <w:rFonts w:hint="eastAsia" w:ascii="仿宋_GB2312" w:hAnsi="仿宋_GB2312" w:eastAsia="仿宋_GB2312" w:cs="仿宋_GB2312"/>
                <w:color w:val="auto"/>
                <w:sz w:val="18"/>
                <w:szCs w:val="18"/>
                <w:highlight w:val="none"/>
              </w:rPr>
              <w:t>责令限期整改、通报批评、取消评比先进资格等责任追究；</w:t>
            </w:r>
          </w:p>
          <w:p w14:paraId="7605EECB">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3.对违反党纪的工作人员（中共党员）给予党纪处分；对构成犯罪的工作人员，移交司法机关，依法追究刑事责任；</w:t>
            </w:r>
          </w:p>
          <w:p w14:paraId="134A6F53">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4.其他法律法规规章文件规定的责任承担方式。</w:t>
            </w:r>
          </w:p>
        </w:tc>
        <w:tc>
          <w:tcPr>
            <w:tcW w:w="2927" w:type="dxa"/>
            <w:noWrap w:val="0"/>
            <w:vAlign w:val="center"/>
          </w:tcPr>
          <w:p w14:paraId="724E61DA">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18B5113A">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1E83E1E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66440975">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14795D0">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23CDF882">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505BACA4">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14A8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71207EA0">
            <w:pPr>
              <w:jc w:val="center"/>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highlight w:val="none"/>
                <w:lang w:val="en-US" w:eastAsia="zh-CN"/>
              </w:rPr>
              <w:t>2</w:t>
            </w:r>
          </w:p>
        </w:tc>
        <w:tc>
          <w:tcPr>
            <w:tcW w:w="642" w:type="dxa"/>
            <w:noWrap w:val="0"/>
            <w:vAlign w:val="center"/>
          </w:tcPr>
          <w:p w14:paraId="2ABD7256">
            <w:pPr>
              <w:autoSpaceDN w:val="0"/>
              <w:jc w:val="center"/>
              <w:textAlignment w:val="center"/>
              <w:rPr>
                <w:rFonts w:hint="eastAsia" w:ascii="仿宋_GB2312" w:hAnsi="仿宋_GB2312" w:eastAsia="仿宋_GB2312" w:cs="仿宋_GB2312"/>
                <w:color w:val="auto"/>
                <w:kern w:val="2"/>
                <w:sz w:val="18"/>
                <w:szCs w:val="18"/>
                <w:highlight w:val="none"/>
                <w:lang w:val="en-US" w:eastAsia="zh-CN" w:bidi="ar-SA"/>
              </w:rPr>
            </w:pPr>
            <w:r>
              <w:rPr>
                <w:rFonts w:ascii="仿宋_GB2312" w:hAnsi="仿宋_GB2312" w:eastAsia="仿宋_GB2312"/>
                <w:color w:val="auto"/>
                <w:sz w:val="18"/>
                <w:highlight w:val="none"/>
              </w:rPr>
              <w:t>侵犯植物新品种权所造成的损害赔偿调解</w:t>
            </w:r>
          </w:p>
        </w:tc>
        <w:tc>
          <w:tcPr>
            <w:tcW w:w="630" w:type="dxa"/>
            <w:noWrap w:val="0"/>
            <w:vAlign w:val="center"/>
          </w:tcPr>
          <w:p w14:paraId="77062981">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1D639F45">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1017007000</w:t>
            </w:r>
          </w:p>
        </w:tc>
        <w:tc>
          <w:tcPr>
            <w:tcW w:w="2010" w:type="dxa"/>
            <w:noWrap w:val="0"/>
            <w:vAlign w:val="center"/>
          </w:tcPr>
          <w:p w14:paraId="1BDDBF28">
            <w:pPr>
              <w:adjustRightInd w:val="0"/>
              <w:snapToGrid w:val="0"/>
              <w:ind w:firstLine="360" w:firstLineChars="200"/>
              <w:rPr>
                <w:rFonts w:hint="eastAsia" w:ascii="仿宋_GB2312" w:hAnsi="仿宋_GB2312" w:eastAsia="仿宋_GB2312" w:cs="仿宋_GB2312"/>
                <w:color w:val="auto"/>
                <w:sz w:val="18"/>
                <w:szCs w:val="18"/>
                <w:highlight w:val="none"/>
                <w:shd w:val="clear" w:color="auto" w:fill="FFFFFF"/>
              </w:rPr>
            </w:pPr>
            <w:r>
              <w:rPr>
                <w:rFonts w:hint="eastAsia" w:ascii="仿宋_GB2312" w:hAnsi="仿宋_GB2312" w:eastAsia="仿宋_GB2312" w:cs="仿宋_GB2312"/>
                <w:color w:val="auto"/>
                <w:kern w:val="0"/>
                <w:sz w:val="18"/>
                <w:szCs w:val="18"/>
                <w:highlight w:val="none"/>
              </w:rPr>
              <w:t>【法律】</w:t>
            </w:r>
            <w:r>
              <w:rPr>
                <w:rFonts w:hint="eastAsia" w:ascii="仿宋_GB2312" w:hAnsi="仿宋_GB2312" w:eastAsia="仿宋_GB2312" w:cs="仿宋_GB2312"/>
                <w:color w:val="auto"/>
                <w:kern w:val="0"/>
                <w:sz w:val="18"/>
                <w:szCs w:val="18"/>
                <w:highlight w:val="none"/>
                <w:lang w:eastAsia="zh-CN"/>
              </w:rPr>
              <w:t>《中华人民共和国种子法》（2021年修订）</w:t>
            </w:r>
            <w:r>
              <w:rPr>
                <w:rFonts w:hint="eastAsia" w:ascii="仿宋_GB2312" w:hAnsi="仿宋_GB2312" w:eastAsia="仿宋_GB2312" w:cs="仿宋_GB2312"/>
                <w:color w:val="auto"/>
                <w:sz w:val="18"/>
                <w:szCs w:val="18"/>
                <w:highlight w:val="none"/>
                <w:shd w:val="clear" w:color="auto" w:fill="FFFFFF"/>
              </w:rPr>
              <w:t>第七十二条　违反本法第二十八条规定，有侵犯植物新品种权行为的，由当事人协商解决，不愿协商或者协商不成的，植物新品种权所有人或者利害关系人可以请求县级以上人民政府农业农村、林业草原主管部门进行处理，也可以直接向人民法院提起诉讼。</w:t>
            </w:r>
          </w:p>
          <w:p w14:paraId="3D71342D">
            <w:pPr>
              <w:adjustRightInd w:val="0"/>
              <w:snapToGrid w:val="0"/>
              <w:ind w:firstLine="360" w:firstLineChars="200"/>
              <w:rPr>
                <w:rFonts w:hint="eastAsia" w:ascii="仿宋_GB2312" w:hAnsi="仿宋_GB2312" w:eastAsia="仿宋_GB2312" w:cs="仿宋_GB2312"/>
                <w:color w:val="auto"/>
                <w:sz w:val="18"/>
                <w:szCs w:val="18"/>
                <w:highlight w:val="none"/>
                <w:shd w:val="clear" w:color="auto" w:fill="FFFFFF"/>
              </w:rPr>
            </w:pPr>
            <w:r>
              <w:rPr>
                <w:rFonts w:hint="eastAsia" w:ascii="仿宋_GB2312" w:hAnsi="仿宋_GB2312" w:eastAsia="仿宋_GB2312" w:cs="仿宋_GB2312"/>
                <w:color w:val="auto"/>
                <w:sz w:val="18"/>
                <w:szCs w:val="18"/>
                <w:highlight w:val="none"/>
                <w:shd w:val="clear" w:color="auto" w:fill="FFFFFF"/>
              </w:rPr>
              <w:t>县级以上人民政府农业农村、林业草原主管部门，根据当事人自愿的原则，对侵犯植物新品种权所造成的损害赔偿可以进行调解。调解达成协议的，当事人应当履行；当事人不履行协议或者调解未达成协议的，植物新品种权所有人或者利害关系人可以依法向人民法院提起诉讼。</w:t>
            </w:r>
          </w:p>
          <w:p w14:paraId="7F016032">
            <w:pPr>
              <w:adjustRightInd w:val="0"/>
              <w:snapToGrid w:val="0"/>
              <w:ind w:firstLine="360" w:firstLineChars="200"/>
              <w:rPr>
                <w:rFonts w:hint="eastAsia" w:ascii="仿宋_GB2312" w:hAnsi="仿宋_GB2312" w:eastAsia="仿宋_GB2312" w:cs="仿宋_GB2312"/>
                <w:color w:val="auto"/>
                <w:sz w:val="18"/>
                <w:szCs w:val="18"/>
                <w:highlight w:val="none"/>
                <w:shd w:val="clear" w:color="auto" w:fill="FFFFFF"/>
              </w:rPr>
            </w:pPr>
            <w:r>
              <w:rPr>
                <w:rFonts w:hint="eastAsia" w:ascii="仿宋_GB2312" w:hAnsi="仿宋_GB2312" w:eastAsia="仿宋_GB2312" w:cs="仿宋_GB2312"/>
                <w:color w:val="auto"/>
                <w:sz w:val="18"/>
                <w:szCs w:val="18"/>
                <w:highlight w:val="none"/>
                <w:shd w:val="clear" w:color="auto" w:fill="FFFFFF"/>
              </w:rPr>
              <w:t>侵犯植物新品种权的赔偿数额按照权利人因被侵权所受到的实际损失确定；实际损失难以确定的，可以按照侵权人因侵权所获得的利益确定。权利人的损失或者侵权人获得的利益难以确定的，可以参照该植物新品种权许可使用费的倍数合理确定。故意侵犯植物新品种权，情节严重的，可以在按照上述方法确定数额的一倍以上五倍以下确定赔偿数额。</w:t>
            </w:r>
          </w:p>
          <w:p w14:paraId="7747EA07">
            <w:pPr>
              <w:adjustRightInd w:val="0"/>
              <w:snapToGrid w:val="0"/>
              <w:ind w:firstLine="360" w:firstLineChars="200"/>
              <w:rPr>
                <w:rFonts w:hint="eastAsia" w:ascii="仿宋_GB2312" w:hAnsi="仿宋_GB2312" w:eastAsia="仿宋_GB2312" w:cs="仿宋_GB2312"/>
                <w:color w:val="auto"/>
                <w:sz w:val="18"/>
                <w:szCs w:val="18"/>
                <w:highlight w:val="none"/>
                <w:shd w:val="clear" w:color="auto" w:fill="FFFFFF"/>
              </w:rPr>
            </w:pPr>
            <w:r>
              <w:rPr>
                <w:rFonts w:hint="eastAsia" w:ascii="仿宋_GB2312" w:hAnsi="仿宋_GB2312" w:eastAsia="仿宋_GB2312" w:cs="仿宋_GB2312"/>
                <w:color w:val="auto"/>
                <w:sz w:val="18"/>
                <w:szCs w:val="18"/>
                <w:highlight w:val="none"/>
                <w:shd w:val="clear" w:color="auto" w:fill="FFFFFF"/>
              </w:rPr>
              <w:t>权利人的损失、侵权人获得的利益和植物新品种权许可使用费均难以确定的，人民法院可以根据植物新品种权的类型、侵权行为的性质和情节等因素，确定给予五百万元以下的赔偿。</w:t>
            </w:r>
          </w:p>
          <w:p w14:paraId="7A507AD5">
            <w:pPr>
              <w:adjustRightInd w:val="0"/>
              <w:snapToGrid w:val="0"/>
              <w:ind w:firstLine="360" w:firstLineChars="200"/>
              <w:rPr>
                <w:rFonts w:hint="eastAsia" w:ascii="仿宋_GB2312" w:hAnsi="仿宋_GB2312" w:eastAsia="仿宋_GB2312" w:cs="仿宋_GB2312"/>
                <w:color w:val="auto"/>
                <w:sz w:val="18"/>
                <w:szCs w:val="18"/>
                <w:highlight w:val="none"/>
                <w:shd w:val="clear" w:color="auto" w:fill="FFFFFF"/>
              </w:rPr>
            </w:pPr>
            <w:r>
              <w:rPr>
                <w:rFonts w:hint="eastAsia" w:ascii="仿宋_GB2312" w:hAnsi="仿宋_GB2312" w:eastAsia="仿宋_GB2312" w:cs="仿宋_GB2312"/>
                <w:color w:val="auto"/>
                <w:sz w:val="18"/>
                <w:szCs w:val="18"/>
                <w:highlight w:val="none"/>
                <w:shd w:val="clear" w:color="auto" w:fill="FFFFFF"/>
              </w:rPr>
              <w:t>赔偿数额应当包括权利人为制止侵权行为所支付的合理开支。</w:t>
            </w:r>
          </w:p>
          <w:p w14:paraId="7846AC1F">
            <w:pPr>
              <w:adjustRightInd w:val="0"/>
              <w:snapToGrid w:val="0"/>
              <w:ind w:firstLine="360" w:firstLineChars="200"/>
              <w:rPr>
                <w:rFonts w:hint="eastAsia" w:ascii="仿宋_GB2312" w:hAnsi="仿宋_GB2312" w:eastAsia="仿宋_GB2312" w:cs="仿宋_GB2312"/>
                <w:color w:val="auto"/>
                <w:sz w:val="18"/>
                <w:szCs w:val="18"/>
                <w:highlight w:val="none"/>
                <w:shd w:val="clear" w:color="auto" w:fill="FFFFFF"/>
              </w:rPr>
            </w:pPr>
            <w:r>
              <w:rPr>
                <w:rFonts w:hint="eastAsia" w:ascii="仿宋_GB2312" w:hAnsi="仿宋_GB2312" w:eastAsia="仿宋_GB2312" w:cs="仿宋_GB2312"/>
                <w:color w:val="auto"/>
                <w:sz w:val="18"/>
                <w:szCs w:val="18"/>
                <w:highlight w:val="none"/>
                <w:shd w:val="clear" w:color="auto" w:fill="FFFFFF"/>
              </w:rPr>
              <w:t>县级以上人民政府农业农村、林业草原主管部门处理侵犯植物新品种权案件时，为了维护社会公共利益，责令侵权人停止侵权行为，没收违法所得和种子；货值金额不足五万元的，并处一万元以上二十五万元以下罚款；货值金额五万元以上的，并处货值金额五倍以上十倍以下罚款。</w:t>
            </w:r>
          </w:p>
          <w:p w14:paraId="74D69431">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shd w:val="clear" w:color="auto" w:fill="FFFFFF"/>
              </w:rPr>
              <w:t>假冒授权品种的，由县级以上人民政府农业农村、林业草原主管部门责令停止假冒行为，没收违法所得和种子；货值金额不足五万元的，并处一万元以上二十五万元以下罚款；货值金额五万元以上的，并处货值金额五倍以上十倍以下罚款。</w:t>
            </w:r>
          </w:p>
        </w:tc>
        <w:tc>
          <w:tcPr>
            <w:tcW w:w="645" w:type="dxa"/>
            <w:noWrap w:val="0"/>
            <w:vAlign w:val="center"/>
          </w:tcPr>
          <w:p w14:paraId="0DB366F4">
            <w:pPr>
              <w:jc w:val="both"/>
              <w:rPr>
                <w:rFonts w:hint="eastAsia" w:ascii="仿宋_GB2312" w:hAnsi="仿宋_GB2312" w:eastAsia="仿宋_GB2312" w:cs="仿宋_GB2312"/>
                <w:color w:val="auto"/>
                <w:kern w:val="2"/>
                <w:sz w:val="18"/>
                <w:szCs w:val="18"/>
                <w:highlight w:val="none"/>
                <w:lang w:val="en-US" w:eastAsia="zh-CN" w:bidi="ar-SA"/>
              </w:rPr>
            </w:pPr>
            <w:r>
              <w:rPr>
                <w:rFonts w:ascii="仿宋_GB2312" w:hAnsi="仿宋_GB2312" w:eastAsia="仿宋_GB2312"/>
                <w:color w:val="auto"/>
                <w:sz w:val="18"/>
                <w:highlight w:val="none"/>
              </w:rPr>
              <w:t>侵犯植物新品种权所造成的损害赔偿调解</w:t>
            </w:r>
          </w:p>
        </w:tc>
        <w:tc>
          <w:tcPr>
            <w:tcW w:w="1485" w:type="dxa"/>
            <w:noWrap w:val="0"/>
            <w:vAlign w:val="center"/>
          </w:tcPr>
          <w:p w14:paraId="106A58D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1.受理责任：依法对申请材料进行受理。                        </w:t>
            </w:r>
          </w:p>
          <w:p w14:paraId="5DFB1D0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2.审查责任：按照法定的条件和程序对提交材料进行审查，提出审查意见。</w:t>
            </w:r>
          </w:p>
          <w:p w14:paraId="347EA11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3.决定责任：作出核准或不予核准的决定，法定告知。</w:t>
            </w:r>
          </w:p>
          <w:p w14:paraId="5A2240D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4.事后监管责任：加强后续监督管理工作。</w:t>
            </w:r>
          </w:p>
          <w:p w14:paraId="29BB6547">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380" w:type="dxa"/>
            <w:noWrap w:val="0"/>
            <w:vAlign w:val="center"/>
          </w:tcPr>
          <w:p w14:paraId="778BDA6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kern w:val="0"/>
                <w:sz w:val="18"/>
                <w:szCs w:val="18"/>
                <w:highlight w:val="none"/>
              </w:rPr>
              <w:t>【法律】</w:t>
            </w:r>
            <w:r>
              <w:rPr>
                <w:rFonts w:hint="eastAsia" w:ascii="仿宋_GB2312" w:hAnsi="仿宋_GB2312" w:eastAsia="仿宋_GB2312" w:cs="仿宋_GB2312"/>
                <w:color w:val="auto"/>
                <w:kern w:val="0"/>
                <w:sz w:val="18"/>
                <w:szCs w:val="18"/>
                <w:highlight w:val="none"/>
                <w:lang w:eastAsia="zh-CN"/>
              </w:rPr>
              <w:t>《中华人民共和国种子法》（2021年修订）</w:t>
            </w:r>
            <w:r>
              <w:rPr>
                <w:rFonts w:hint="eastAsia" w:ascii="仿宋_GB2312" w:hAnsi="仿宋_GB2312" w:eastAsia="仿宋_GB2312" w:cs="仿宋_GB2312"/>
                <w:color w:val="auto"/>
                <w:sz w:val="18"/>
                <w:szCs w:val="18"/>
                <w:highlight w:val="none"/>
              </w:rPr>
              <w:t>违反本法第二十八条规定，有侵犯植物新品种权行为的，由当事人协商解决，不愿协商或者协商不成的，植物新品种权所有人或者利害关系人可以请求县级以上人民政府农业农村、林业草原主管部门进行处理，也可以直接向人民法院提起诉讼。</w:t>
            </w:r>
          </w:p>
          <w:p w14:paraId="2C7A97B5">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县级以上人民政府农业农村、林业草原主管部门，根据当事人自愿的原则，对侵犯植物新品种权所造成的损害赔偿可以进行调解。调解达成协议的，当事人应当履行；当事人不履行协议或者调解未达成协议的，植物新品种权所有人或者利害关系人可以依法向人民法院提起诉讼。</w:t>
            </w:r>
            <w:r>
              <w:rPr>
                <w:rFonts w:hint="eastAsia" w:ascii="仿宋_GB2312" w:hAnsi="仿宋_GB2312" w:eastAsia="仿宋_GB2312" w:cs="仿宋_GB2312"/>
                <w:color w:val="auto"/>
                <w:sz w:val="18"/>
                <w:szCs w:val="18"/>
                <w:highlight w:val="none"/>
              </w:rPr>
              <w:br w:type="textWrapping"/>
            </w:r>
          </w:p>
        </w:tc>
        <w:tc>
          <w:tcPr>
            <w:tcW w:w="1185" w:type="dxa"/>
            <w:noWrap w:val="0"/>
            <w:vAlign w:val="center"/>
          </w:tcPr>
          <w:p w14:paraId="2E5E8D0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37FB6AB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1.对符合受理条件的申请不予受理的；</w:t>
            </w:r>
          </w:p>
          <w:p w14:paraId="4210BF7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2.未严格按照相关法律、法规履行审查义务的；</w:t>
            </w:r>
          </w:p>
          <w:p w14:paraId="7DC54B74">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3.不依法履行监督职责或者监督不力的；</w:t>
            </w:r>
          </w:p>
          <w:p w14:paraId="54E3443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4.滥用职权、徇私舞弊、玩忽职守的；</w:t>
            </w:r>
          </w:p>
          <w:p w14:paraId="545814E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5.索贿、受贿，谋取不正当利益的；</w:t>
            </w:r>
          </w:p>
          <w:p w14:paraId="0778E74B">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2400" w:type="dxa"/>
            <w:noWrap w:val="0"/>
            <w:vAlign w:val="center"/>
          </w:tcPr>
          <w:p w14:paraId="5873131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5D481C03">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069E66D4">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393B4C1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55B09A35">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650CFCEC">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575" w:type="dxa"/>
            <w:noWrap w:val="0"/>
            <w:vAlign w:val="center"/>
          </w:tcPr>
          <w:p w14:paraId="7413955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217C832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2DE668C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w:t>
            </w:r>
            <w:r>
              <w:rPr>
                <w:rFonts w:hint="eastAsia" w:ascii="仿宋_GB2312" w:hAnsi="仿宋_GB2312" w:eastAsia="仿宋_GB2312" w:cs="仿宋_GB2312"/>
                <w:color w:val="auto"/>
                <w:kern w:val="0"/>
                <w:sz w:val="18"/>
                <w:szCs w:val="18"/>
                <w:highlight w:val="none"/>
              </w:rPr>
              <w:t>行政机关</w:t>
            </w:r>
            <w:r>
              <w:rPr>
                <w:rFonts w:hint="eastAsia" w:ascii="仿宋_GB2312" w:hAnsi="仿宋_GB2312" w:eastAsia="仿宋_GB2312" w:cs="仿宋_GB2312"/>
                <w:color w:val="auto"/>
                <w:sz w:val="18"/>
                <w:szCs w:val="18"/>
                <w:highlight w:val="none"/>
              </w:rPr>
              <w:t>责令限期整改、通报批评、取消评比先进资格等责任追究；</w:t>
            </w:r>
          </w:p>
          <w:p w14:paraId="6F8E528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3.对违反党纪的工作人员（中共党员）给予党纪处分；对构成犯罪的工作人员，移交司法机关，依法追究刑事责任；</w:t>
            </w:r>
          </w:p>
          <w:p w14:paraId="07C0A2D8">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4.其他法律法规规章文件规定的责任承担方式。</w:t>
            </w:r>
          </w:p>
        </w:tc>
        <w:tc>
          <w:tcPr>
            <w:tcW w:w="2927" w:type="dxa"/>
            <w:noWrap w:val="0"/>
            <w:vAlign w:val="center"/>
          </w:tcPr>
          <w:p w14:paraId="367F84F1">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4D88FA2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838F609">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7FADBC1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6A25D532">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15D26A54">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lang w:val="en-US" w:eastAsia="zh-CN"/>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p w14:paraId="0BBF196E">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p>
        </w:tc>
      </w:tr>
      <w:tr w14:paraId="5065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2F02560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3</w:t>
            </w:r>
          </w:p>
        </w:tc>
        <w:tc>
          <w:tcPr>
            <w:tcW w:w="642" w:type="dxa"/>
            <w:noWrap w:val="0"/>
            <w:vAlign w:val="center"/>
          </w:tcPr>
          <w:p w14:paraId="7E578147">
            <w:pPr>
              <w:jc w:val="both"/>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草原等级评定</w:t>
            </w:r>
          </w:p>
        </w:tc>
        <w:tc>
          <w:tcPr>
            <w:tcW w:w="630" w:type="dxa"/>
            <w:noWrap w:val="0"/>
            <w:vAlign w:val="center"/>
          </w:tcPr>
          <w:p w14:paraId="56CD54AF">
            <w:pPr>
              <w:jc w:val="both"/>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无</w:t>
            </w:r>
          </w:p>
        </w:tc>
        <w:tc>
          <w:tcPr>
            <w:tcW w:w="630" w:type="dxa"/>
            <w:noWrap w:val="0"/>
            <w:vAlign w:val="center"/>
          </w:tcPr>
          <w:p w14:paraId="3611C782">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1017009000</w:t>
            </w:r>
          </w:p>
        </w:tc>
        <w:tc>
          <w:tcPr>
            <w:tcW w:w="2010" w:type="dxa"/>
            <w:noWrap w:val="0"/>
            <w:vAlign w:val="center"/>
          </w:tcPr>
          <w:p w14:paraId="421F6121">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【法律】《中华人民共和国草原法》（2013年修改）</w:t>
            </w:r>
          </w:p>
          <w:p w14:paraId="6459F1A7">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第二十三条第二款县级以上人民政府草原行政主管部门根据草原调查结果、草原的质量，依据草原等级评定标准，对草原进行评定等级。</w:t>
            </w:r>
          </w:p>
          <w:p w14:paraId="61BA4723">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【地方性法规】《宁夏回族自治区草原管理条例》（2005年修订）</w:t>
            </w:r>
          </w:p>
          <w:p w14:paraId="55D1C6DB">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第十五条自治区人民政府草原行政主管部门应当会同自治区国土资源、环保、水利、林业等有关部门根据国家草原等级评定标准制定自治区草原等级评定标准。</w:t>
            </w:r>
          </w:p>
          <w:p w14:paraId="1CAE99EE">
            <w:pPr>
              <w:adjustRightInd w:val="0"/>
              <w:snapToGrid w:val="0"/>
              <w:ind w:firstLine="360" w:firstLineChars="20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县级以上人民政府草原行政主管部门应当根据草原调查结果、草原的质量，依据自治区草原等级评定标准，对草原进行评定等级。</w:t>
            </w:r>
          </w:p>
        </w:tc>
        <w:tc>
          <w:tcPr>
            <w:tcW w:w="645" w:type="dxa"/>
            <w:noWrap w:val="0"/>
            <w:vAlign w:val="center"/>
          </w:tcPr>
          <w:p w14:paraId="197B0E78">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草原等级评定</w:t>
            </w:r>
          </w:p>
        </w:tc>
        <w:tc>
          <w:tcPr>
            <w:tcW w:w="1485" w:type="dxa"/>
            <w:noWrap w:val="0"/>
            <w:vAlign w:val="center"/>
          </w:tcPr>
          <w:p w14:paraId="3662107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1.受理责任：依法对申请材料进行受理。                        </w:t>
            </w:r>
          </w:p>
          <w:p w14:paraId="0E8AB97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2.审查责任：按照法定的条件和程序对提交材料进行审查，提出审查意见。</w:t>
            </w:r>
          </w:p>
          <w:p w14:paraId="15457AC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3.决定责任：作出核准或不予核准的决定，法定告知。</w:t>
            </w:r>
          </w:p>
          <w:p w14:paraId="015059F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4.事后监管责任：加强后续监督管理工作。</w:t>
            </w:r>
          </w:p>
          <w:p w14:paraId="1FCE5A4A">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380" w:type="dxa"/>
            <w:noWrap w:val="0"/>
            <w:vAlign w:val="center"/>
          </w:tcPr>
          <w:p w14:paraId="034D588D">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1、【法律】《中华人民共和国草原法》（2013年修改）</w:t>
            </w:r>
          </w:p>
          <w:p w14:paraId="0B10C2C4">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第二十三条第二款县级以上人民政府草原行政主管部门根据草原调查结果、草原的质量，依据草原等级评定标准，对草原进行评定等级。</w:t>
            </w:r>
          </w:p>
          <w:p w14:paraId="0C95BD4F">
            <w:pPr>
              <w:adjustRightInd w:val="0"/>
              <w:snapToGrid w:val="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2、【地方性法规】《宁夏回族自治区草原管理条例》（2005年修订）</w:t>
            </w:r>
          </w:p>
          <w:p w14:paraId="654C0777">
            <w:pPr>
              <w:adjustRightInd w:val="0"/>
              <w:snapToGrid w:val="0"/>
              <w:ind w:firstLine="360" w:firstLineChars="200"/>
              <w:jc w:val="left"/>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color w:val="auto"/>
                <w:kern w:val="0"/>
                <w:sz w:val="18"/>
                <w:szCs w:val="18"/>
                <w:highlight w:val="none"/>
              </w:rPr>
              <w:t>第十五条自治区人民政府草原行政主管部门应当会同自治区国土资源、环保、水利、林业等有关部门根据国家草原等级评定标准制定自治区草原等级评定标准。</w:t>
            </w:r>
          </w:p>
          <w:p w14:paraId="6BC652A4">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rPr>
              <w:t>县级以上人民政府草原行政主管部门应当根据草原调查结果、草原的质量，依据自治区草原等级评定标准，对草原进行评定等级。</w:t>
            </w:r>
          </w:p>
        </w:tc>
        <w:tc>
          <w:tcPr>
            <w:tcW w:w="1185" w:type="dxa"/>
            <w:noWrap w:val="0"/>
            <w:vAlign w:val="center"/>
          </w:tcPr>
          <w:p w14:paraId="64B5A912">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273D77E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1.对符合受理条件的申请不予受理的；</w:t>
            </w:r>
          </w:p>
          <w:p w14:paraId="27AFF87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2.未严格按照相关法律、法规履行审查义务的；</w:t>
            </w:r>
          </w:p>
          <w:p w14:paraId="05F2A56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3.不依法履行监督职责或者监督不力的；</w:t>
            </w:r>
          </w:p>
          <w:p w14:paraId="6672141C">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4.滥用职权、徇私舞弊、玩忽职守的；</w:t>
            </w:r>
          </w:p>
          <w:p w14:paraId="1FCAFC6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5.索贿、受贿，谋取不正当利益的；</w:t>
            </w:r>
          </w:p>
          <w:p w14:paraId="3D331FD7">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2400" w:type="dxa"/>
            <w:noWrap w:val="0"/>
            <w:vAlign w:val="center"/>
          </w:tcPr>
          <w:p w14:paraId="713B561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76F2C3F4">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75182114">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55FEC40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6616510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527B7C9A">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575" w:type="dxa"/>
            <w:noWrap w:val="0"/>
            <w:vAlign w:val="center"/>
          </w:tcPr>
          <w:p w14:paraId="6E2D875E">
            <w:pPr>
              <w:adjustRightInd w:val="0"/>
              <w:snapToGrid w:val="0"/>
              <w:rPr>
                <w:rFonts w:hint="eastAsia" w:ascii="仿宋_GB2312" w:hAnsi="仿宋_GB2312" w:eastAsia="仿宋_GB2312" w:cs="仿宋_GB2312"/>
                <w:color w:val="auto"/>
                <w:sz w:val="18"/>
                <w:szCs w:val="18"/>
                <w:highlight w:val="none"/>
              </w:rPr>
            </w:pPr>
          </w:p>
          <w:p w14:paraId="629533E2">
            <w:pPr>
              <w:adjustRightInd w:val="0"/>
              <w:snapToGrid w:val="0"/>
              <w:rPr>
                <w:rFonts w:hint="eastAsia" w:ascii="仿宋_GB2312" w:hAnsi="仿宋_GB2312" w:eastAsia="仿宋_GB2312" w:cs="仿宋_GB2312"/>
                <w:color w:val="auto"/>
                <w:sz w:val="18"/>
                <w:szCs w:val="18"/>
                <w:highlight w:val="none"/>
              </w:rPr>
            </w:pPr>
          </w:p>
          <w:p w14:paraId="1CE4B723">
            <w:pPr>
              <w:adjustRightInd w:val="0"/>
              <w:snapToGrid w:val="0"/>
              <w:rPr>
                <w:rFonts w:hint="eastAsia" w:ascii="仿宋_GB2312" w:hAnsi="仿宋_GB2312" w:eastAsia="仿宋_GB2312" w:cs="仿宋_GB2312"/>
                <w:color w:val="auto"/>
                <w:sz w:val="18"/>
                <w:szCs w:val="18"/>
                <w:highlight w:val="none"/>
              </w:rPr>
            </w:pPr>
          </w:p>
          <w:p w14:paraId="0DC27DC5">
            <w:pPr>
              <w:adjustRightInd w:val="0"/>
              <w:snapToGrid w:val="0"/>
              <w:rPr>
                <w:rFonts w:hint="eastAsia" w:ascii="仿宋_GB2312" w:hAnsi="仿宋_GB2312" w:eastAsia="仿宋_GB2312" w:cs="仿宋_GB2312"/>
                <w:color w:val="auto"/>
                <w:sz w:val="18"/>
                <w:szCs w:val="18"/>
                <w:highlight w:val="none"/>
              </w:rPr>
            </w:pPr>
          </w:p>
          <w:p w14:paraId="40A76F96">
            <w:pPr>
              <w:adjustRightInd w:val="0"/>
              <w:snapToGrid w:val="0"/>
              <w:rPr>
                <w:rFonts w:hint="eastAsia" w:ascii="仿宋_GB2312" w:hAnsi="仿宋_GB2312" w:eastAsia="仿宋_GB2312" w:cs="仿宋_GB2312"/>
                <w:color w:val="auto"/>
                <w:sz w:val="18"/>
                <w:szCs w:val="18"/>
                <w:highlight w:val="none"/>
              </w:rPr>
            </w:pPr>
          </w:p>
          <w:p w14:paraId="047564A5">
            <w:pPr>
              <w:adjustRightInd w:val="0"/>
              <w:snapToGrid w:val="0"/>
              <w:rPr>
                <w:rFonts w:hint="eastAsia" w:ascii="仿宋_GB2312" w:hAnsi="仿宋_GB2312" w:eastAsia="仿宋_GB2312" w:cs="仿宋_GB2312"/>
                <w:color w:val="auto"/>
                <w:sz w:val="18"/>
                <w:szCs w:val="18"/>
                <w:highlight w:val="none"/>
              </w:rPr>
            </w:pPr>
          </w:p>
          <w:p w14:paraId="7F88AA45">
            <w:pPr>
              <w:adjustRightInd w:val="0"/>
              <w:snapToGrid w:val="0"/>
              <w:rPr>
                <w:rFonts w:hint="eastAsia" w:ascii="仿宋_GB2312" w:hAnsi="仿宋_GB2312" w:eastAsia="仿宋_GB2312" w:cs="仿宋_GB2312"/>
                <w:color w:val="auto"/>
                <w:sz w:val="18"/>
                <w:szCs w:val="18"/>
                <w:highlight w:val="none"/>
              </w:rPr>
            </w:pPr>
          </w:p>
          <w:p w14:paraId="6DDB5349">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41F296E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4DF57A1D">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w:t>
            </w:r>
            <w:r>
              <w:rPr>
                <w:rFonts w:hint="eastAsia" w:ascii="仿宋_GB2312" w:hAnsi="仿宋_GB2312" w:eastAsia="仿宋_GB2312" w:cs="仿宋_GB2312"/>
                <w:color w:val="auto"/>
                <w:kern w:val="0"/>
                <w:sz w:val="18"/>
                <w:szCs w:val="18"/>
                <w:highlight w:val="none"/>
              </w:rPr>
              <w:t>行政机关</w:t>
            </w:r>
            <w:r>
              <w:rPr>
                <w:rFonts w:hint="eastAsia" w:ascii="仿宋_GB2312" w:hAnsi="仿宋_GB2312" w:eastAsia="仿宋_GB2312" w:cs="仿宋_GB2312"/>
                <w:color w:val="auto"/>
                <w:sz w:val="18"/>
                <w:szCs w:val="18"/>
                <w:highlight w:val="none"/>
              </w:rPr>
              <w:t>责令限期整改、通报批评、取消评比先进资格等责任追究；</w:t>
            </w:r>
          </w:p>
          <w:p w14:paraId="5E7449A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3.对违反党纪的工作人员（中共党员）给予党纪处分；对构成犯罪的工作人员，移交司法机关，依法追究刑事责任；</w:t>
            </w:r>
          </w:p>
          <w:p w14:paraId="3CA8B9AA">
            <w:pPr>
              <w:adjustRightInd w:val="0"/>
              <w:snapToGrid w:val="0"/>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sz w:val="18"/>
                <w:szCs w:val="18"/>
                <w:highlight w:val="none"/>
              </w:rPr>
              <w:t>4.其他法律法规规章文件规定的责任承担方式。</w:t>
            </w:r>
          </w:p>
        </w:tc>
        <w:tc>
          <w:tcPr>
            <w:tcW w:w="2927" w:type="dxa"/>
            <w:noWrap w:val="0"/>
            <w:vAlign w:val="center"/>
          </w:tcPr>
          <w:p w14:paraId="78B2302B">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03596C7C">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3879B1A7">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2B8C9BA0">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77729558">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6A3AF3F5">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r w14:paraId="6C3A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noWrap w:val="0"/>
            <w:vAlign w:val="center"/>
          </w:tcPr>
          <w:p w14:paraId="42BBB7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vertAlign w:val="baseline"/>
                <w:lang w:val="en-US" w:eastAsia="zh-CN"/>
              </w:rPr>
              <w:t>4</w:t>
            </w:r>
          </w:p>
        </w:tc>
        <w:tc>
          <w:tcPr>
            <w:tcW w:w="642" w:type="dxa"/>
            <w:noWrap w:val="0"/>
            <w:vAlign w:val="center"/>
          </w:tcPr>
          <w:p w14:paraId="047BAAE6">
            <w:pPr>
              <w:widowControl/>
              <w:adjustRightInd w:val="0"/>
              <w:snapToGrid w:val="0"/>
              <w:jc w:val="center"/>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sz w:val="18"/>
                <w:szCs w:val="18"/>
                <w:highlight w:val="none"/>
              </w:rPr>
              <w:t>森林火灾损失的评估</w:t>
            </w:r>
          </w:p>
        </w:tc>
        <w:tc>
          <w:tcPr>
            <w:tcW w:w="630" w:type="dxa"/>
            <w:noWrap w:val="0"/>
            <w:vAlign w:val="center"/>
          </w:tcPr>
          <w:p w14:paraId="4A078F53">
            <w:pPr>
              <w:jc w:val="both"/>
              <w:rPr>
                <w:rFonts w:hint="eastAsia" w:ascii="仿宋_GB2312" w:hAnsi="仿宋_GB2312" w:eastAsia="仿宋_GB2312" w:cs="仿宋_GB2312"/>
                <w:color w:val="auto"/>
                <w:kern w:val="2"/>
                <w:sz w:val="18"/>
                <w:szCs w:val="18"/>
                <w:highlight w:val="none"/>
                <w:vertAlign w:val="baseline"/>
                <w:lang w:val="en-US" w:eastAsia="zh-CN" w:bidi="ar-SA"/>
              </w:rPr>
            </w:pPr>
          </w:p>
        </w:tc>
        <w:tc>
          <w:tcPr>
            <w:tcW w:w="630" w:type="dxa"/>
            <w:noWrap w:val="0"/>
            <w:vAlign w:val="center"/>
          </w:tcPr>
          <w:p w14:paraId="61AD6962">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kern w:val="0"/>
                <w:sz w:val="18"/>
                <w:szCs w:val="18"/>
                <w:highlight w:val="none"/>
              </w:rPr>
              <w:t>1022001000</w:t>
            </w:r>
          </w:p>
        </w:tc>
        <w:tc>
          <w:tcPr>
            <w:tcW w:w="2010" w:type="dxa"/>
            <w:noWrap w:val="0"/>
            <w:vAlign w:val="center"/>
          </w:tcPr>
          <w:p w14:paraId="13DD8FBB">
            <w:pPr>
              <w:widowControl/>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【行政法规】《森林防火条例》（2008年国务院令第541号修订）</w:t>
            </w:r>
          </w:p>
          <w:p w14:paraId="7BB9609D">
            <w:pPr>
              <w:adjustRightInd w:val="0"/>
              <w:snapToGrid w:val="0"/>
              <w:ind w:firstLine="360" w:firstLineChars="20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第四十一条 县级以上人民政府林业主管部门应当会同有关部门及时对森林火灾发生原因、肇事者、受害森林面积和蓄积、人员伤亡、其他经济损失等情况进行调查和评估，向当地人民政府提出调查报告；当地人民政府应当根据调查报告，确定森林火灾责任单位和责任人，并依法处理。 森林火灾损失评估标准，由国务院林业主管部门会同有关部门制定。</w:t>
            </w:r>
          </w:p>
        </w:tc>
        <w:tc>
          <w:tcPr>
            <w:tcW w:w="645" w:type="dxa"/>
            <w:noWrap w:val="0"/>
            <w:vAlign w:val="center"/>
          </w:tcPr>
          <w:p w14:paraId="7D0630D1">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森林火灾损失的评估</w:t>
            </w:r>
          </w:p>
        </w:tc>
        <w:tc>
          <w:tcPr>
            <w:tcW w:w="1485" w:type="dxa"/>
            <w:noWrap w:val="0"/>
            <w:vAlign w:val="center"/>
          </w:tcPr>
          <w:p w14:paraId="4042A7C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1.受理责任：依法对申请材料进行受理。                        </w:t>
            </w:r>
          </w:p>
          <w:p w14:paraId="4AC1261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2.审查责任：按照法定的条件和程序对提交材料进行审查，提出审查意见。</w:t>
            </w:r>
          </w:p>
          <w:p w14:paraId="1862801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3.决定责任：作出核准或不予核准的决定，法定告知。</w:t>
            </w:r>
          </w:p>
          <w:p w14:paraId="3E04072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4.事后监管责任：加强后续监督管理工作。</w:t>
            </w:r>
          </w:p>
          <w:p w14:paraId="27484E58">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5.其他法律法规规章文件规定应履行的责任。</w:t>
            </w:r>
          </w:p>
        </w:tc>
        <w:tc>
          <w:tcPr>
            <w:tcW w:w="1380" w:type="dxa"/>
            <w:noWrap w:val="0"/>
            <w:vAlign w:val="center"/>
          </w:tcPr>
          <w:p w14:paraId="63CEA219">
            <w:pPr>
              <w:widowControl/>
              <w:adjustRightInd w:val="0"/>
              <w:snapToGrid w:val="0"/>
              <w:ind w:firstLine="360" w:firstLineChars="20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【行政法规】《森林防火条例》（2008年国务院令第541号修订）</w:t>
            </w:r>
          </w:p>
          <w:p w14:paraId="4D52B406">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第四十一条 县级以上人民政府林业主管部门应当会同有关部门及时对森林火灾发生原因、肇事者、受害森林面积和蓄积、人员伤亡、其他经济损失等情况进行调查和评估，向当地人民政府提出调查报告；当地人民政府应当根据调查报告，确定森林火灾责任单位和责任人，并依法处理。 森林火灾损失评估标准，由国务院林业主管部门会同有关部门制定。</w:t>
            </w:r>
          </w:p>
        </w:tc>
        <w:tc>
          <w:tcPr>
            <w:tcW w:w="1185" w:type="dxa"/>
            <w:noWrap w:val="0"/>
            <w:vAlign w:val="center"/>
          </w:tcPr>
          <w:p w14:paraId="785BFD1E">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因不履行或不正确履行行政职责，有下列情形的，行政机关及相关工作人员应承担相应责任：</w:t>
            </w:r>
          </w:p>
          <w:p w14:paraId="6A6C8D8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1.对符合受理条件的申请不予受理的；</w:t>
            </w:r>
          </w:p>
          <w:p w14:paraId="5EAA246A">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2.未严格按照相关法律、法规履行审查义务的；</w:t>
            </w:r>
          </w:p>
          <w:p w14:paraId="23AC578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3.不依法履行监督职责或者监督不力的；</w:t>
            </w:r>
          </w:p>
          <w:p w14:paraId="7E34ADF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4.滥用职权、徇私舞弊、玩忽职守的；</w:t>
            </w:r>
          </w:p>
          <w:p w14:paraId="661E193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5.索贿、受贿，谋取不正当利益的；</w:t>
            </w:r>
          </w:p>
          <w:p w14:paraId="48780BE3">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6.其他违反法律法规规章文件规定的行为。</w:t>
            </w:r>
          </w:p>
        </w:tc>
        <w:tc>
          <w:tcPr>
            <w:tcW w:w="2400" w:type="dxa"/>
            <w:noWrap w:val="0"/>
            <w:vAlign w:val="center"/>
          </w:tcPr>
          <w:p w14:paraId="1A7C910F">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1.《宁夏回族自治区行政执法监督条例》第二十二条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应当加强行政执法主体具体行政行为的监督，有下列情形之一的，依法予以纠正。（二）不履行或者拖延履行法定职责的；</w:t>
            </w:r>
          </w:p>
          <w:p w14:paraId="3A129BFC">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2.《宁夏回族自治区行政执法监督条例》第二十二条 </w:t>
            </w:r>
            <w:r>
              <w:rPr>
                <w:rFonts w:hint="eastAsia" w:ascii="仿宋_GB2312" w:hAnsi="仿宋_GB2312" w:eastAsia="仿宋_GB2312" w:cs="仿宋_GB2312"/>
                <w:color w:val="auto"/>
                <w:sz w:val="18"/>
                <w:szCs w:val="18"/>
                <w:highlight w:val="none"/>
                <w:lang w:eastAsia="zh-CN"/>
              </w:rPr>
              <w:t>行政执法监督机关或者监督机构</w:t>
            </w:r>
            <w:r>
              <w:rPr>
                <w:rFonts w:hint="eastAsia" w:ascii="仿宋_GB2312" w:hAnsi="仿宋_GB2312" w:eastAsia="仿宋_GB2312" w:cs="仿宋_GB2312"/>
                <w:color w:val="auto"/>
                <w:sz w:val="18"/>
                <w:szCs w:val="18"/>
                <w:highlight w:val="none"/>
              </w:rPr>
              <w:t>应当加强行政执法主体具体行政行为的监督，有下列情形之一的，依法予以纠正。（六）违反法定程序的。</w:t>
            </w:r>
          </w:p>
          <w:p w14:paraId="660C5AA5">
            <w:pPr>
              <w:widowControl/>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3.《宁夏回族自治区行政程序规定》第一百一十三条“行政机关及其工作人员违反本规定，有下列情形之一的，依照国家和自治区有关规定追究责任：（三）超越或者滥用职权的；</w:t>
            </w:r>
          </w:p>
          <w:p w14:paraId="4738E9A6">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4.《宁夏回族自治区行政执法监督条例》第二十六条“监督机关或者监督机构及其工作人员有下列情形之一的，由本级人民政府或其工作部门对有关负责人和责任人员给予警告；情节严重的，由发证机关注销其行政执法监督证，并依法给予行政处分；构成犯罪的，依法追究刑事责任：（三）失职或者越权，造成严重后果的；”</w:t>
            </w:r>
          </w:p>
          <w:p w14:paraId="28F847B8">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14:paraId="1B73B4DF">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6.《宁夏回族自治区行政责任追究办法》第十四条“行政机关及其工作人员在实施行政监督检查过程中有下列情形之一的，应当追究其行政责任：（六）其他违法实施行政监督检查的情形。”</w:t>
            </w:r>
          </w:p>
        </w:tc>
        <w:tc>
          <w:tcPr>
            <w:tcW w:w="1575" w:type="dxa"/>
            <w:noWrap w:val="0"/>
            <w:vAlign w:val="center"/>
          </w:tcPr>
          <w:p w14:paraId="354E7337">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对不履行或不正确履行行政职责的行政机关及相关工作人员，由上级行政机关或本级人民政府、监察机关、任免机关、政府法制机构等，依据过错与责任相适应的原则，按照各自权限，以下列方式追究其责任：</w:t>
            </w:r>
          </w:p>
          <w:p w14:paraId="587F3C80">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1.给予具体承办人责令作出书面检查、批评教育、取消年度评比先进资格、暂扣行政执法证件、离岗培训、调离工作岗位、取消行政执法资格以及处分等责任追究；</w:t>
            </w:r>
          </w:p>
          <w:p w14:paraId="5E4B3CF3">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2.给予</w:t>
            </w:r>
            <w:r>
              <w:rPr>
                <w:rFonts w:hint="eastAsia" w:ascii="仿宋_GB2312" w:hAnsi="仿宋_GB2312" w:eastAsia="仿宋_GB2312" w:cs="仿宋_GB2312"/>
                <w:color w:val="auto"/>
                <w:kern w:val="0"/>
                <w:sz w:val="18"/>
                <w:szCs w:val="18"/>
                <w:highlight w:val="none"/>
              </w:rPr>
              <w:t>行政机关</w:t>
            </w:r>
            <w:r>
              <w:rPr>
                <w:rFonts w:hint="eastAsia" w:ascii="仿宋_GB2312" w:hAnsi="仿宋_GB2312" w:eastAsia="仿宋_GB2312" w:cs="仿宋_GB2312"/>
                <w:color w:val="auto"/>
                <w:sz w:val="18"/>
                <w:szCs w:val="18"/>
                <w:highlight w:val="none"/>
              </w:rPr>
              <w:t>责令限期整改、通报批评、取消评比先进资格等责任追究；</w:t>
            </w:r>
          </w:p>
          <w:p w14:paraId="4D969F01">
            <w:pPr>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3.对违反党纪的工作人员（中共党员）给予党纪处分；对构成犯罪的工作人员，移交司法机关，依法追究刑事责任；</w:t>
            </w:r>
          </w:p>
          <w:p w14:paraId="2F40B4BD">
            <w:pPr>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color w:val="auto"/>
                <w:sz w:val="18"/>
                <w:szCs w:val="18"/>
                <w:highlight w:val="none"/>
              </w:rPr>
              <w:t>4.其他法律法规规章文件规定的责任承担方式。</w:t>
            </w:r>
          </w:p>
        </w:tc>
        <w:tc>
          <w:tcPr>
            <w:tcW w:w="2927" w:type="dxa"/>
            <w:noWrap w:val="0"/>
            <w:vAlign w:val="center"/>
          </w:tcPr>
          <w:p w14:paraId="5CB9C382">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1.《宁夏回族自治区行政程序规定》第一百一十五条“责任追究采用下列方式：（三）对行政机关行政行为的具体承办人的责任追究方式为：责令作出书面检查、批评教育、取消年度评比先进资格、暂扣行政执法证件、离岗培训、调离工作岗位、取消行政执法资格以及处分等。</w:t>
            </w:r>
          </w:p>
          <w:p w14:paraId="7A28AC6F">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rPr>
              <w:t>1-2《宁夏回族自治区行政执法监督条例》第二十六条</w:t>
            </w:r>
            <w:r>
              <w:rPr>
                <w:rFonts w:hint="eastAsia" w:ascii="仿宋_GB2312" w:hAnsi="仿宋_GB2312" w:eastAsia="仿宋_GB2312" w:cs="仿宋_GB2312"/>
                <w:i w:val="0"/>
                <w:caps w:val="0"/>
                <w:color w:val="auto"/>
                <w:spacing w:val="0"/>
                <w:sz w:val="18"/>
                <w:szCs w:val="18"/>
                <w:highlight w:val="none"/>
                <w:shd w:val="clear" w:color="auto" w:fill="FFFFFF"/>
              </w:rPr>
              <w:t>行政执法主体或者行政执法人员有下列情形之一的，由</w:t>
            </w:r>
            <w:r>
              <w:rPr>
                <w:rFonts w:hint="eastAsia" w:ascii="仿宋_GB2312" w:hAnsi="仿宋_GB2312" w:eastAsia="仿宋_GB2312" w:cs="仿宋_GB2312"/>
                <w:i w:val="0"/>
                <w:caps w:val="0"/>
                <w:color w:val="auto"/>
                <w:spacing w:val="0"/>
                <w:sz w:val="18"/>
                <w:szCs w:val="18"/>
                <w:highlight w:val="none"/>
                <w:shd w:val="clear" w:color="auto" w:fill="FFFFFF"/>
                <w:lang w:eastAsia="zh-CN"/>
              </w:rPr>
              <w:t>行政执法监督机构视情节轻重</w:t>
            </w:r>
            <w:r>
              <w:rPr>
                <w:rFonts w:hint="eastAsia" w:ascii="仿宋_GB2312" w:hAnsi="仿宋_GB2312" w:eastAsia="仿宋_GB2312" w:cs="仿宋_GB2312"/>
                <w:i w:val="0"/>
                <w:caps w:val="0"/>
                <w:color w:val="auto"/>
                <w:spacing w:val="0"/>
                <w:sz w:val="18"/>
                <w:szCs w:val="18"/>
                <w:highlight w:val="none"/>
                <w:shd w:val="clear" w:color="auto" w:fill="FFFFFF"/>
              </w:rPr>
              <w:t>，报请本级人民政府或者本部门批准，责令限期改正，给予警告或者暂扣有关责任人员的行政执法证;情节严重的，</w:t>
            </w:r>
            <w:r>
              <w:rPr>
                <w:rFonts w:hint="eastAsia" w:ascii="仿宋_GB2312" w:hAnsi="仿宋_GB2312" w:eastAsia="仿宋_GB2312" w:cs="仿宋_GB2312"/>
                <w:i w:val="0"/>
                <w:caps w:val="0"/>
                <w:color w:val="auto"/>
                <w:spacing w:val="0"/>
                <w:sz w:val="18"/>
                <w:szCs w:val="18"/>
                <w:highlight w:val="none"/>
                <w:shd w:val="clear" w:color="auto" w:fill="FFFFFF"/>
                <w:lang w:eastAsia="zh-CN"/>
              </w:rPr>
              <w:t>依法给予处分，并由自治区司法行政部门注销有关责任人员的行政执法证</w:t>
            </w:r>
            <w:r>
              <w:rPr>
                <w:rFonts w:hint="eastAsia" w:ascii="仿宋_GB2312" w:hAnsi="仿宋_GB2312" w:eastAsia="仿宋_GB2312" w:cs="仿宋_GB2312"/>
                <w:i w:val="0"/>
                <w:caps w:val="0"/>
                <w:color w:val="auto"/>
                <w:spacing w:val="0"/>
                <w:sz w:val="18"/>
                <w:szCs w:val="18"/>
                <w:highlight w:val="none"/>
                <w:shd w:val="clear" w:color="auto" w:fill="FFFFFF"/>
              </w:rPr>
              <w:t>;构成犯罪的，依法追究刑事责任:(一)利用行政执法权为本单位或者个人谋取私利的;(二)涂改、转借行政执法证的;(三)失职或者越权，给公民、法人和其他组织造成经济损失或者其他严重后果的;(四)侵犯公民、法人和其他组织的合法权益，引起行政赔偿，致使国家遭受损失的;(五)干扰、拒绝和阻挠行政执法监督的;(六)无正当理由拒不受理举报、投诉的;(七)拒不执行或者无正当理由拖延执行行政执法监督决定的;(八)其他违反本条例规定的行为。</w:t>
            </w:r>
          </w:p>
          <w:p w14:paraId="4CE9CBE8">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2.《宁夏回族自治区行政程序规定》第一百一十五条“（一）对行政机关的责任追究方式为：责令限期整改、通报批评、取消评比先进的资格等；</w:t>
            </w:r>
          </w:p>
          <w:p w14:paraId="19409D4D">
            <w:pPr>
              <w:shd w:val="clear" w:color="auto" w:fill="FFFFFF"/>
              <w:adjustRightInd w:val="0"/>
              <w:snapToGrid w:val="0"/>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3</w:t>
            </w:r>
            <w:r>
              <w:rPr>
                <w:rFonts w:hint="eastAsia" w:ascii="仿宋_GB2312" w:hAnsi="仿宋_GB2312" w:eastAsia="仿宋_GB2312" w:cs="仿宋_GB2312"/>
                <w:color w:val="auto"/>
                <w:sz w:val="18"/>
                <w:szCs w:val="18"/>
                <w:highlight w:val="none"/>
              </w:rPr>
              <w:t>.《中国共产党纪律处分条例》第</w:t>
            </w:r>
            <w:r>
              <w:rPr>
                <w:rFonts w:hint="eastAsia" w:ascii="仿宋_GB2312" w:hAnsi="仿宋_GB2312" w:eastAsia="仿宋_GB2312" w:cs="仿宋_GB2312"/>
                <w:color w:val="auto"/>
                <w:sz w:val="18"/>
                <w:szCs w:val="18"/>
                <w:highlight w:val="none"/>
                <w:lang w:eastAsia="zh-CN"/>
              </w:rPr>
              <w:t>八</w:t>
            </w:r>
            <w:r>
              <w:rPr>
                <w:rFonts w:hint="eastAsia" w:ascii="仿宋_GB2312" w:hAnsi="仿宋_GB2312" w:eastAsia="仿宋_GB2312" w:cs="仿宋_GB2312"/>
                <w:color w:val="auto"/>
                <w:sz w:val="18"/>
                <w:szCs w:val="18"/>
                <w:highlight w:val="none"/>
              </w:rPr>
              <w:t>条“对党员的纪律处分种类：（一）警告；（二）严重警告；（三）撤销党内职务；（四）留党察看；（五）开除党籍。”</w:t>
            </w:r>
          </w:p>
          <w:p w14:paraId="507617EC">
            <w:pPr>
              <w:shd w:val="clear" w:color="auto" w:fill="FFFFFF"/>
              <w:adjustRightInd w:val="0"/>
              <w:snapToGrid w:val="0"/>
              <w:rPr>
                <w:rFonts w:hint="eastAsia" w:ascii="仿宋_GB2312" w:hAnsi="仿宋_GB2312" w:eastAsia="仿宋_GB2312" w:cs="仿宋_GB2312"/>
                <w:i w:val="0"/>
                <w:caps w:val="0"/>
                <w:color w:val="auto"/>
                <w:spacing w:val="0"/>
                <w:sz w:val="18"/>
                <w:szCs w:val="18"/>
                <w:highlight w:val="none"/>
                <w:shd w:val="clear" w:color="auto" w:fill="FFFFFF"/>
              </w:rPr>
            </w:pPr>
            <w:r>
              <w:rPr>
                <w:rFonts w:hint="eastAsia" w:ascii="仿宋_GB2312" w:hAnsi="仿宋_GB2312" w:eastAsia="仿宋_GB2312" w:cs="仿宋_GB2312"/>
                <w:color w:val="auto"/>
                <w:sz w:val="18"/>
                <w:szCs w:val="18"/>
                <w:highlight w:val="none"/>
                <w:lang w:val="en-US" w:eastAsia="zh-CN"/>
              </w:rPr>
              <w:t>4</w:t>
            </w:r>
            <w:r>
              <w:rPr>
                <w:rFonts w:hint="eastAsia" w:ascii="仿宋_GB2312" w:hAnsi="仿宋_GB2312" w:eastAsia="仿宋_GB2312" w:cs="仿宋_GB2312"/>
                <w:color w:val="auto"/>
                <w:sz w:val="18"/>
                <w:szCs w:val="18"/>
                <w:highlight w:val="none"/>
              </w:rPr>
              <w:t>.《行政机关公务员处分条例》第六条</w:t>
            </w:r>
            <w:r>
              <w:rPr>
                <w:rFonts w:hint="eastAsia" w:ascii="仿宋_GB2312" w:hAnsi="仿宋_GB2312" w:eastAsia="仿宋_GB2312" w:cs="仿宋_GB2312"/>
                <w:color w:val="auto"/>
                <w:sz w:val="18"/>
                <w:szCs w:val="18"/>
                <w:highlight w:val="none"/>
                <w:lang w:val="en-US" w:eastAsia="zh-CN"/>
              </w:rPr>
              <w:t xml:space="preserve"> </w:t>
            </w:r>
            <w:r>
              <w:rPr>
                <w:rFonts w:hint="eastAsia" w:ascii="仿宋_GB2312" w:hAnsi="仿宋_GB2312" w:eastAsia="仿宋_GB2312" w:cs="仿宋_GB2312"/>
                <w:i w:val="0"/>
                <w:caps w:val="0"/>
                <w:color w:val="auto"/>
                <w:spacing w:val="0"/>
                <w:sz w:val="18"/>
                <w:szCs w:val="18"/>
                <w:highlight w:val="none"/>
                <w:shd w:val="clear" w:color="auto" w:fill="FFFFFF"/>
              </w:rPr>
              <w:t>行政机关公务员处分的种类为：(一)警告;(二)记过;(三)记大过;(四)降级;(五)撤职;(六)开除。</w:t>
            </w:r>
          </w:p>
          <w:p w14:paraId="59E570A9">
            <w:pPr>
              <w:shd w:val="clear" w:color="auto" w:fill="FFFFFF"/>
              <w:adjustRightInd w:val="0"/>
              <w:snapToGrid w:val="0"/>
              <w:rPr>
                <w:rFonts w:hint="eastAsia" w:ascii="仿宋_GB2312" w:hAnsi="仿宋_GB2312" w:eastAsia="仿宋_GB2312" w:cs="仿宋_GB2312"/>
                <w:color w:val="auto"/>
                <w:kern w:val="2"/>
                <w:sz w:val="18"/>
                <w:szCs w:val="18"/>
                <w:highlight w:val="none"/>
                <w:vertAlign w:val="baseline"/>
                <w:lang w:val="en-US" w:eastAsia="zh-CN" w:bidi="ar-SA"/>
              </w:rPr>
            </w:pPr>
            <w:r>
              <w:rPr>
                <w:rFonts w:hint="eastAsia" w:ascii="仿宋_GB2312" w:hAnsi="仿宋_GB2312" w:eastAsia="仿宋_GB2312" w:cs="仿宋_GB2312"/>
                <w:i w:val="0"/>
                <w:caps w:val="0"/>
                <w:color w:val="auto"/>
                <w:spacing w:val="0"/>
                <w:sz w:val="18"/>
                <w:szCs w:val="18"/>
                <w:highlight w:val="none"/>
                <w:shd w:val="clear" w:color="auto" w:fill="FFFFFF"/>
                <w:lang w:val="en-US" w:eastAsia="zh-CN"/>
              </w:rPr>
              <w:t>5.</w:t>
            </w:r>
            <w:r>
              <w:rPr>
                <w:rFonts w:hint="eastAsia" w:ascii="仿宋_GB2312" w:hAnsi="仿宋_GB2312" w:eastAsia="仿宋_GB2312" w:cs="仿宋_GB2312"/>
                <w:color w:val="auto"/>
                <w:sz w:val="18"/>
                <w:szCs w:val="18"/>
                <w:highlight w:val="none"/>
              </w:rPr>
              <w:t>《宁夏回族自治区行政程序规定》第一百一十七条“行政机关违反法定程序实施行政行为，侵犯公民、法人或者其他组织合法权益造成损害的，依法承担行政赔偿责任。行政机关履行赔偿义务后，应当责令有故意或者重大过失的工作人员，承担部分或者全部赔偿费用。”</w:t>
            </w:r>
          </w:p>
        </w:tc>
      </w:tr>
    </w:tbl>
    <w:p w14:paraId="2E06EC49">
      <w:pPr>
        <w:jc w:val="center"/>
        <w:rPr>
          <w:rFonts w:hint="eastAsia" w:ascii="楷体_GB2312" w:hAnsi="楷体_GB2312" w:eastAsia="楷体_GB2312" w:cs="楷体_GB2312"/>
          <w:b/>
          <w:bCs/>
          <w:sz w:val="32"/>
          <w:szCs w:val="32"/>
          <w:highlight w:val="none"/>
          <w:lang w:val="en-US" w:eastAsia="zh-CN"/>
        </w:rPr>
      </w:pPr>
    </w:p>
    <w:p w14:paraId="6C0F7092">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highlight w:val="none"/>
        </w:rPr>
      </w:pPr>
      <w:r>
        <w:rPr>
          <w:rFonts w:hint="eastAsia" w:ascii="仿宋_GB2312" w:hAnsi="仿宋_GB2312" w:eastAsia="仿宋_GB2312" w:cs="仿宋_GB2312"/>
          <w:b/>
          <w:bCs w:val="0"/>
          <w:sz w:val="21"/>
          <w:szCs w:val="21"/>
          <w:highlight w:val="none"/>
        </w:rPr>
        <w:t>说明：</w:t>
      </w:r>
      <w:r>
        <w:rPr>
          <w:rFonts w:hint="eastAsia" w:ascii="仿宋_GB2312" w:hAnsi="仿宋_GB2312" w:eastAsia="仿宋_GB2312" w:cs="仿宋_GB2312"/>
          <w:b w:val="0"/>
          <w:bCs/>
          <w:sz w:val="21"/>
          <w:szCs w:val="21"/>
          <w:highlight w:val="none"/>
          <w:lang w:val="en-US" w:eastAsia="zh-CN"/>
        </w:rPr>
        <w:t>1.请按设置表格格式填报，不得随意更改格式；2.无子项，子项名称填写“无”；3.若没有某类职权，直接删除该类职权，按所有的职权类别依次排序即可；4.</w:t>
      </w:r>
      <w:r>
        <w:rPr>
          <w:rFonts w:hint="eastAsia" w:ascii="仿宋_GB2312" w:hAnsi="仿宋_GB2312" w:eastAsia="仿宋_GB2312" w:cs="仿宋_GB2312"/>
          <w:b w:val="0"/>
          <w:bCs/>
          <w:sz w:val="21"/>
          <w:szCs w:val="21"/>
          <w:highlight w:val="none"/>
          <w:lang w:eastAsia="zh-CN"/>
        </w:rPr>
        <w:t>务必保证填入上表的内容无误，将以此表为准</w:t>
      </w:r>
      <w:r>
        <w:rPr>
          <w:rFonts w:hint="eastAsia" w:ascii="仿宋_GB2312" w:hAnsi="仿宋_GB2312" w:eastAsia="仿宋_GB2312" w:cs="仿宋_GB2312"/>
          <w:b w:val="0"/>
          <w:bCs/>
          <w:sz w:val="21"/>
          <w:szCs w:val="21"/>
          <w:highlight w:val="none"/>
          <w:lang w:val="en-US" w:eastAsia="zh-CN"/>
        </w:rPr>
        <w:t>通过中央编办机构编制云平台“权责清单管理系统”进行数据汇聚、更新工作。</w:t>
      </w:r>
    </w:p>
    <w:p w14:paraId="1CC13234">
      <w:pPr>
        <w:rPr>
          <w:rFonts w:hint="default" w:eastAsia="宋体"/>
          <w:highlight w:val="none"/>
          <w:lang w:val="en-US" w:eastAsia="zh-CN"/>
        </w:rPr>
      </w:pPr>
      <w:r>
        <w:rPr>
          <w:rFonts w:hint="eastAsia"/>
          <w:highlight w:val="none"/>
          <w:lang w:val="en-US" w:eastAsia="zh-CN"/>
        </w:rPr>
        <w:t xml:space="preserve">  </w:t>
      </w:r>
    </w:p>
    <w:sectPr>
      <w:headerReference r:id="rId3" w:type="default"/>
      <w:footerReference r:id="rId4" w:type="default"/>
      <w:pgSz w:w="16838" w:h="11906" w:orient="landscape"/>
      <w:pgMar w:top="1417" w:right="454" w:bottom="1361" w:left="3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00"/>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00"/>
    <w:family w:val="auto"/>
    <w:pitch w:val="default"/>
    <w:sig w:usb0="00000000" w:usb1="00000000" w:usb2="00000016" w:usb3="00000000" w:csb0="0004001F" w:csb1="00000000"/>
  </w:font>
  <w:font w:name="C059">
    <w:panose1 w:val="000005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856E3">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023EF16">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wrap="none" lIns="0" tIns="0" rIns="0" bIns="0" upright="0">
                      <a:spAutoFit/>
                    </wps:bodyPr>
                  </wps:wsp>
                </a:graphicData>
              </a:graphic>
            </wp:anchor>
          </w:drawing>
        </mc:Choice>
        <mc:Fallback>
          <w:pict>
            <v:rect id="文本框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BR3srUwgEAAI4DAAAOAAAAAAAAAAEAIAAAAB8BAABkcnMvZTJvRG9jLnhtbFBL&#10;BQYAAAAABgAGAFkBAABTBQAAAAA=&#10;">
              <v:fill on="f" focussize="0,0"/>
              <v:stroke on="f"/>
              <v:imagedata o:title=""/>
              <o:lock v:ext="edit" aspectratio="f"/>
              <v:textbox inset="0mm,0mm,0mm,0mm" style="mso-fit-shape-to-text:t;">
                <w:txbxContent>
                  <w:p w14:paraId="0023EF16">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67B6B">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A95935"/>
    <w:multiLevelType w:val="singleLevel"/>
    <w:tmpl w:val="BFA95935"/>
    <w:lvl w:ilvl="0" w:tentative="0">
      <w:start w:val="1"/>
      <w:numFmt w:val="decimal"/>
      <w:lvlText w:val="%1."/>
      <w:lvlJc w:val="left"/>
      <w:pPr>
        <w:tabs>
          <w:tab w:val="left" w:pos="312"/>
        </w:tabs>
      </w:pPr>
    </w:lvl>
  </w:abstractNum>
  <w:abstractNum w:abstractNumId="1">
    <w:nsid w:val="E39799D0"/>
    <w:multiLevelType w:val="singleLevel"/>
    <w:tmpl w:val="E39799D0"/>
    <w:lvl w:ilvl="0" w:tentative="0">
      <w:start w:val="3"/>
      <w:numFmt w:val="chineseCounting"/>
      <w:suff w:val="space"/>
      <w:lvlText w:val="第%1条"/>
      <w:lvlJc w:val="left"/>
      <w:rPr>
        <w:rFonts w:hint="eastAsia"/>
      </w:rPr>
    </w:lvl>
  </w:abstractNum>
  <w:abstractNum w:abstractNumId="2">
    <w:nsid w:val="00000000"/>
    <w:multiLevelType w:val="singleLevel"/>
    <w:tmpl w:val="00000000"/>
    <w:lvl w:ilvl="0" w:tentative="0">
      <w:start w:val="15"/>
      <w:numFmt w:val="chineseCounting"/>
      <w:suff w:val="nothing"/>
      <w:lvlText w:val="第%1条　"/>
      <w:lvlJc w:val="left"/>
      <w:rPr>
        <w:rFonts w:hint="eastAsia"/>
      </w:rPr>
    </w:lvl>
  </w:abstractNum>
  <w:abstractNum w:abstractNumId="3">
    <w:nsid w:val="00000009"/>
    <w:multiLevelType w:val="singleLevel"/>
    <w:tmpl w:val="00000009"/>
    <w:lvl w:ilvl="0" w:tentative="0">
      <w:start w:val="7"/>
      <w:numFmt w:val="chineseCounting"/>
      <w:suff w:val="space"/>
      <w:lvlText w:val="第%1条"/>
      <w:lvlJc w:val="left"/>
    </w:lvl>
  </w:abstractNum>
  <w:abstractNum w:abstractNumId="4">
    <w:nsid w:val="0000000B"/>
    <w:multiLevelType w:val="singleLevel"/>
    <w:tmpl w:val="0000000B"/>
    <w:lvl w:ilvl="0" w:tentative="0">
      <w:start w:val="6"/>
      <w:numFmt w:val="chineseCounting"/>
      <w:suff w:val="space"/>
      <w:lvlText w:val="第%1条"/>
      <w:lvlJc w:val="left"/>
      <w:rPr>
        <w:rFonts w:hint="eastAsia"/>
      </w:rPr>
    </w:lvl>
  </w:abstractNum>
  <w:abstractNum w:abstractNumId="5">
    <w:nsid w:val="0000000D"/>
    <w:multiLevelType w:val="singleLevel"/>
    <w:tmpl w:val="0000000D"/>
    <w:lvl w:ilvl="0" w:tentative="0">
      <w:start w:val="15"/>
      <w:numFmt w:val="chineseCounting"/>
      <w:suff w:val="space"/>
      <w:lvlText w:val="第%1条"/>
      <w:lvlJc w:val="left"/>
      <w:pPr>
        <w:ind w:left="360" w:firstLine="0"/>
      </w:pPr>
      <w:rPr>
        <w:rFonts w:hint="eastAsia"/>
      </w:rPr>
    </w:lvl>
  </w:abstractNum>
  <w:abstractNum w:abstractNumId="6">
    <w:nsid w:val="0000000F"/>
    <w:multiLevelType w:val="singleLevel"/>
    <w:tmpl w:val="0000000F"/>
    <w:lvl w:ilvl="0" w:tentative="0">
      <w:start w:val="19"/>
      <w:numFmt w:val="chineseCounting"/>
      <w:suff w:val="space"/>
      <w:lvlText w:val="第%1条"/>
      <w:lvlJc w:val="left"/>
      <w:pPr>
        <w:ind w:left="366" w:firstLine="0"/>
      </w:pPr>
    </w:lvl>
  </w:abstractNum>
  <w:abstractNum w:abstractNumId="7">
    <w:nsid w:val="3267FF07"/>
    <w:multiLevelType w:val="singleLevel"/>
    <w:tmpl w:val="3267FF07"/>
    <w:lvl w:ilvl="0" w:tentative="0">
      <w:start w:val="13"/>
      <w:numFmt w:val="chineseCounting"/>
      <w:suff w:val="space"/>
      <w:lvlText w:val="第%1条"/>
      <w:lvlJc w:val="left"/>
      <w:rPr>
        <w:rFonts w:hint="eastAsia"/>
      </w:rPr>
    </w:lvl>
  </w:abstractNum>
  <w:num w:numId="1">
    <w:abstractNumId w:val="4"/>
  </w:num>
  <w:num w:numId="2">
    <w:abstractNumId w:val="2"/>
  </w:num>
  <w:num w:numId="3">
    <w:abstractNumId w:val="5"/>
  </w:num>
  <w:num w:numId="4">
    <w:abstractNumId w:val="1"/>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5NjRhNTVjODQ5NWU3NGNkMzZkNjkzN2YzMWQ1YTAifQ=="/>
  </w:docVars>
  <w:rsids>
    <w:rsidRoot w:val="00172A27"/>
    <w:rsid w:val="012A108C"/>
    <w:rsid w:val="020E35DE"/>
    <w:rsid w:val="072B2C67"/>
    <w:rsid w:val="08EB5E2C"/>
    <w:rsid w:val="0F52651F"/>
    <w:rsid w:val="113445D2"/>
    <w:rsid w:val="16DF41EF"/>
    <w:rsid w:val="172C7D46"/>
    <w:rsid w:val="17AB728A"/>
    <w:rsid w:val="187127EF"/>
    <w:rsid w:val="1A992FDF"/>
    <w:rsid w:val="1AAD780F"/>
    <w:rsid w:val="1BE47858"/>
    <w:rsid w:val="1DE313E6"/>
    <w:rsid w:val="21407FE4"/>
    <w:rsid w:val="258B1923"/>
    <w:rsid w:val="29EC4912"/>
    <w:rsid w:val="2A387834"/>
    <w:rsid w:val="2A3B68D3"/>
    <w:rsid w:val="2C6505D6"/>
    <w:rsid w:val="2DFB75AA"/>
    <w:rsid w:val="34512488"/>
    <w:rsid w:val="34D44060"/>
    <w:rsid w:val="35EE7EFA"/>
    <w:rsid w:val="376637C1"/>
    <w:rsid w:val="37D98447"/>
    <w:rsid w:val="39F7375C"/>
    <w:rsid w:val="3ADD34DA"/>
    <w:rsid w:val="3BD7B65A"/>
    <w:rsid w:val="3D4246E9"/>
    <w:rsid w:val="3DFB9AEE"/>
    <w:rsid w:val="3E7FC1A4"/>
    <w:rsid w:val="3EAB0813"/>
    <w:rsid w:val="3EFDC1D6"/>
    <w:rsid w:val="3F75EA9C"/>
    <w:rsid w:val="3F8DA95A"/>
    <w:rsid w:val="3FD7F76C"/>
    <w:rsid w:val="410368E8"/>
    <w:rsid w:val="43486F88"/>
    <w:rsid w:val="44EB7DA1"/>
    <w:rsid w:val="46140BFB"/>
    <w:rsid w:val="47FA219F"/>
    <w:rsid w:val="47FFBAFD"/>
    <w:rsid w:val="48055B97"/>
    <w:rsid w:val="4ACB7282"/>
    <w:rsid w:val="51CA1435"/>
    <w:rsid w:val="520F65F0"/>
    <w:rsid w:val="52C17677"/>
    <w:rsid w:val="55813EAE"/>
    <w:rsid w:val="559116E2"/>
    <w:rsid w:val="59E7E960"/>
    <w:rsid w:val="5AFFCEA7"/>
    <w:rsid w:val="5B14332B"/>
    <w:rsid w:val="5BFF6FA4"/>
    <w:rsid w:val="5DDE8749"/>
    <w:rsid w:val="5E28052E"/>
    <w:rsid w:val="5FDFDAA4"/>
    <w:rsid w:val="5FEA33C5"/>
    <w:rsid w:val="5FEDD243"/>
    <w:rsid w:val="5FFF47D9"/>
    <w:rsid w:val="62141E9E"/>
    <w:rsid w:val="62350280"/>
    <w:rsid w:val="64945ACF"/>
    <w:rsid w:val="66781C4B"/>
    <w:rsid w:val="69D47819"/>
    <w:rsid w:val="6A0D09E0"/>
    <w:rsid w:val="6D1669C0"/>
    <w:rsid w:val="6F6E385C"/>
    <w:rsid w:val="6FEB03D9"/>
    <w:rsid w:val="71F05297"/>
    <w:rsid w:val="73005FF0"/>
    <w:rsid w:val="73FD1FDD"/>
    <w:rsid w:val="759C69B2"/>
    <w:rsid w:val="77090083"/>
    <w:rsid w:val="7719724A"/>
    <w:rsid w:val="776FA82F"/>
    <w:rsid w:val="77AFEDEE"/>
    <w:rsid w:val="77E93077"/>
    <w:rsid w:val="77FB12D5"/>
    <w:rsid w:val="77FF82F9"/>
    <w:rsid w:val="78014F38"/>
    <w:rsid w:val="79447E18"/>
    <w:rsid w:val="7BFF9C91"/>
    <w:rsid w:val="7DAED744"/>
    <w:rsid w:val="7E0C6824"/>
    <w:rsid w:val="7EB55388"/>
    <w:rsid w:val="7EF76E9C"/>
    <w:rsid w:val="7F5F222A"/>
    <w:rsid w:val="7F7E33DE"/>
    <w:rsid w:val="7FAA1E2C"/>
    <w:rsid w:val="7FD700B4"/>
    <w:rsid w:val="8F7FB17C"/>
    <w:rsid w:val="8FBF360F"/>
    <w:rsid w:val="96FD0D31"/>
    <w:rsid w:val="9F6B409B"/>
    <w:rsid w:val="AB3DF5CF"/>
    <w:rsid w:val="AFAF3FE5"/>
    <w:rsid w:val="B5FE5F68"/>
    <w:rsid w:val="B77F80C5"/>
    <w:rsid w:val="BB7FFD37"/>
    <w:rsid w:val="BBFD6462"/>
    <w:rsid w:val="BC93F0ED"/>
    <w:rsid w:val="BE9FDB3D"/>
    <w:rsid w:val="BFAD5CD0"/>
    <w:rsid w:val="BFBDF50B"/>
    <w:rsid w:val="D5AF9269"/>
    <w:rsid w:val="D5BFCCC1"/>
    <w:rsid w:val="D5FCC37D"/>
    <w:rsid w:val="DF3284D1"/>
    <w:rsid w:val="DFA62036"/>
    <w:rsid w:val="EE69FF9A"/>
    <w:rsid w:val="EF9FF26A"/>
    <w:rsid w:val="EFDB6060"/>
    <w:rsid w:val="EFFF0635"/>
    <w:rsid w:val="F4E7E3E6"/>
    <w:rsid w:val="F59F38E5"/>
    <w:rsid w:val="F5BFFDDB"/>
    <w:rsid w:val="F66545B1"/>
    <w:rsid w:val="F6BD63FA"/>
    <w:rsid w:val="F7574B05"/>
    <w:rsid w:val="F7692C21"/>
    <w:rsid w:val="FA63A758"/>
    <w:rsid w:val="FB9F1679"/>
    <w:rsid w:val="FBB11E89"/>
    <w:rsid w:val="FBEB8B31"/>
    <w:rsid w:val="FBF70EFA"/>
    <w:rsid w:val="FF9FE6AB"/>
    <w:rsid w:val="FFBDF329"/>
    <w:rsid w:val="FFEFBC00"/>
    <w:rsid w:val="FFFBDE38"/>
    <w:rsid w:val="FFFF5C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qFormat/>
    <w:uiPriority w:val="0"/>
    <w:pPr>
      <w:widowControl/>
      <w:spacing w:before="100" w:beforeLines="0" w:beforeAutospacing="1" w:after="100" w:afterLines="0" w:afterAutospacing="1"/>
      <w:jc w:val="left"/>
      <w:outlineLvl w:val="2"/>
    </w:pPr>
    <w:rPr>
      <w:rFonts w:ascii="宋体" w:hAnsi="宋体" w:eastAsia="宋体" w:cs="宋体"/>
      <w:b/>
      <w:bCs/>
      <w:kern w:val="0"/>
      <w:sz w:val="24"/>
      <w:szCs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lang w:val="zh-CN"/>
    </w:rPr>
  </w:style>
  <w:style w:type="paragraph" w:styleId="4">
    <w:name w:val="Body Text"/>
    <w:basedOn w:val="1"/>
    <w:next w:val="1"/>
    <w:qFormat/>
    <w:uiPriority w:val="0"/>
    <w:rPr>
      <w:sz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styleId="10">
    <w:name w:val="Strong"/>
    <w:basedOn w:val="9"/>
    <w:qFormat/>
    <w:uiPriority w:val="0"/>
    <w:rPr>
      <w:rFonts w:eastAsia="宋体"/>
      <w:b/>
      <w:bCs/>
      <w:sz w:val="21"/>
      <w:szCs w:val="24"/>
    </w:rPr>
  </w:style>
  <w:style w:type="character" w:styleId="11">
    <w:name w:val="Hyperlink"/>
    <w:basedOn w:val="9"/>
    <w:qFormat/>
    <w:uiPriority w:val="0"/>
    <w:rPr>
      <w:color w:val="0000FF"/>
      <w:u w:val="single"/>
    </w:rPr>
  </w:style>
  <w:style w:type="character" w:customStyle="1" w:styleId="12">
    <w:name w:val="apple-converted-space"/>
    <w:basedOn w:val="9"/>
    <w:qFormat/>
    <w:uiPriority w:val="0"/>
    <w:rPr>
      <w:rFonts w:eastAsia="宋体"/>
      <w:sz w:val="21"/>
      <w:szCs w:val="24"/>
    </w:rPr>
  </w:style>
  <w:style w:type="paragraph" w:customStyle="1" w:styleId="13">
    <w:name w:val="Char"/>
    <w:basedOn w:val="1"/>
    <w:qFormat/>
    <w:uiPriority w:val="0"/>
    <w:rPr>
      <w:rFonts w:ascii="Calibri" w:hAnsi="Calibri"/>
    </w:rPr>
  </w:style>
  <w:style w:type="paragraph" w:customStyle="1" w:styleId="14">
    <w:name w:val="union2"/>
    <w:basedOn w:val="1"/>
    <w:qFormat/>
    <w:uiPriority w:val="0"/>
    <w:pPr>
      <w:widowControl/>
      <w:jc w:val="left"/>
    </w:pPr>
    <w:rPr>
      <w:rFonts w:ascii="宋体" w:hAnsi="宋体" w:cs="宋体"/>
      <w:kern w:val="0"/>
      <w:sz w:val="24"/>
    </w:rPr>
  </w:style>
  <w:style w:type="paragraph" w:customStyle="1" w:styleId="15">
    <w:name w:val="Normal (Web)"/>
    <w:basedOn w:val="1"/>
    <w:qFormat/>
    <w:uiPriority w:val="0"/>
    <w:pPr>
      <w:widowControl/>
      <w:spacing w:before="100" w:beforeLines="0" w:beforeAutospacing="1" w:after="100" w:afterLines="0" w:afterAutospacing="1"/>
      <w:jc w:val="left"/>
    </w:pPr>
    <w:rPr>
      <w:rFonts w:ascii="宋体" w:hAnsi="宋体" w:cs="宋体"/>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546</Pages>
  <Words>703259</Words>
  <Characters>718433</Characters>
  <Lines>1</Lines>
  <Paragraphs>1</Paragraphs>
  <TotalTime>15</TotalTime>
  <ScaleCrop>false</ScaleCrop>
  <LinksUpToDate>false</LinksUpToDate>
  <CharactersWithSpaces>726524</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2014-11-04T12:08:00Z</dcterms:created>
  <dc:creator>Administrator</dc:creator>
  <cp:lastModifiedBy>西 an</cp:lastModifiedBy>
  <dcterms:modified xsi:type="dcterms:W3CDTF">2026-02-12T11:46:35Z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A7BFC5F8A9A3180E35478C695CB7032C_43</vt:lpwstr>
  </property>
</Properties>
</file>