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民办非学历教育机构普惠性民办幼儿园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认定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信息表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/>
        </w:rPr>
      </w:pPr>
    </w:p>
    <w:tbl>
      <w:tblPr>
        <w:tblStyle w:val="5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6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事项名称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民办非学历教育机构普惠性民办幼儿园认定</w:t>
            </w:r>
          </w:p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事项编码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职权类型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行政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评估、审核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办理类型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行政备案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委托授权类型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lang w:eastAsia="zh-CN"/>
              </w:rPr>
              <w:t>审核上报权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备案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主体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40" w:firstLineChars="20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  <w:t>大武口区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lang w:eastAsia="zh-CN"/>
              </w:rPr>
              <w:t>教育体育局基础教育室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申请主体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40" w:firstLineChars="20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lang w:eastAsia="zh-CN"/>
              </w:rPr>
              <w:t>经大武口区教育体育局批准，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</w:rPr>
              <w:t>取得《民办学校办学许可证》</w:t>
            </w: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lang w:eastAsia="zh-CN"/>
              </w:rPr>
              <w:t>且收费标准符合评审要求的幼儿园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备案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条件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300" w:beforeAutospacing="0" w:after="300" w:afterAutospacing="0" w:line="378" w:lineRule="atLeast"/>
              <w:ind w:right="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300" w:beforeAutospacing="0" w:after="300" w:afterAutospacing="0" w:line="378" w:lineRule="atLeast"/>
              <w:ind w:left="0" w:right="0" w:firstLine="420"/>
              <w:jc w:val="left"/>
              <w:rPr>
                <w:rFonts w:hint="default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  <w:t>1、经市、县教育局行政部门批准、取得《民办学校办学许可证》。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300" w:beforeAutospacing="0" w:after="300" w:afterAutospacing="0" w:line="378" w:lineRule="atLeast"/>
              <w:ind w:left="0" w:right="0" w:firstLine="420"/>
              <w:jc w:val="left"/>
              <w:rPr>
                <w:rFonts w:hint="default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  <w:t>2、收费标准不高于同类幼儿园的2.5倍。</w:t>
            </w:r>
          </w:p>
          <w:p>
            <w:pPr>
              <w:widowControl/>
              <w:adjustRightInd w:val="0"/>
              <w:snapToGrid w:val="0"/>
              <w:spacing w:line="360" w:lineRule="atLeast"/>
              <w:ind w:firstLine="440" w:firstLineChars="200"/>
              <w:jc w:val="left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数量限制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法律依据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225" w:afterAutospacing="0" w:line="378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ind w:firstLine="360" w:firstLineChars="200"/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【政府文件】自治区教育厅关于印发《宁夏普惠性幼儿园评定标准（修订）》的通知  宁教基【2015】36号</w:t>
            </w:r>
          </w:p>
          <w:p>
            <w:pPr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申报材料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宁夏普惠性民办幼儿园申报审批表。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宁夏回族自治区普惠性民办幼儿园评定细则自评表。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宁夏回族自治区普惠性民办幼儿园基本情况表。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申报普惠性民办幼儿园自查报告。</w:t>
            </w:r>
          </w:p>
          <w:p>
            <w:pPr>
              <w:numPr>
                <w:ilvl w:val="0"/>
                <w:numId w:val="1"/>
              </w:num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通过下列相关证件原件及复印件。</w:t>
            </w:r>
          </w:p>
          <w:p>
            <w:pPr>
              <w:numPr>
                <w:ilvl w:val="0"/>
                <w:numId w:val="0"/>
              </w:num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（1）办学许可证  （2）收费许可证  （3）民非企业登记证</w:t>
            </w:r>
          </w:p>
          <w:p>
            <w:pPr>
              <w:numPr>
                <w:ilvl w:val="0"/>
                <w:numId w:val="0"/>
              </w:numPr>
              <w:spacing w:line="36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（4）组织机构代码证  （5）卫生许可证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服务表格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宁夏回族自治区普惠性民办幼儿园申报审批表》</w:t>
            </w:r>
          </w:p>
          <w:p>
            <w:pPr>
              <w:numPr>
                <w:ilvl w:val="0"/>
                <w:numId w:val="2"/>
              </w:numPr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《宁夏回族自治区普惠性民办幼儿园基本情况表》</w:t>
            </w:r>
          </w:p>
          <w:p>
            <w:pPr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3、《宁夏回族自治区普惠性民办幼儿园评定细则自评表》</w:t>
            </w:r>
          </w:p>
          <w:p>
            <w:pPr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收费依据和标准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法定期限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承诺期限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特殊环节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年审或</w:t>
            </w:r>
          </w:p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年检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事项公示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宁夏政务服务网、大武口区政府网、大武口区教育体育局网站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办理地点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大武口区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政务服务大厅教育体育局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  <w:t>窗口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left"/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  <w:t>095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eastAsia="zh-Hans"/>
              </w:rPr>
              <w:t>-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2688696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监督电话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0952-2688608、2012076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办理查询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ind w:firstLine="480" w:firstLineChars="200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在线办理链接</w:t>
            </w:r>
          </w:p>
        </w:tc>
        <w:tc>
          <w:tcPr>
            <w:tcW w:w="6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ind w:firstLine="480" w:firstLineChars="200"/>
              <w:rPr>
                <w:rFonts w:hint="eastAsia" w:ascii="仿宋" w:hAnsi="仿宋" w:eastAsia="仿宋" w:cs="仿宋_GB2312"/>
                <w:color w:val="FF0000"/>
                <w:kern w:val="0"/>
                <w:sz w:val="24"/>
              </w:rPr>
            </w:pPr>
          </w:p>
        </w:tc>
      </w:tr>
    </w:tbl>
    <w:p/>
    <w:p>
      <w:pPr>
        <w:widowControl/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民办非学历教育机构普惠性民办幼儿园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认定流程</w:t>
      </w:r>
    </w:p>
    <w:p>
      <w:pPr>
        <w:widowControl/>
        <w:adjustRightInd w:val="0"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5"/>
        <w:tblpPr w:leftFromText="180" w:rightFromText="180" w:vertAnchor="text" w:horzAnchor="page" w:tblpX="1650" w:tblpY="99"/>
        <w:tblOverlap w:val="never"/>
        <w:tblW w:w="8620" w:type="dxa"/>
        <w:tblInd w:w="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1079"/>
        <w:gridCol w:w="1494"/>
        <w:gridCol w:w="4278"/>
        <w:gridCol w:w="1769"/>
      </w:tblGrid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48" w:hRule="atLeast"/>
        </w:trPr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程  序</w:t>
            </w:r>
          </w:p>
        </w:tc>
        <w:tc>
          <w:tcPr>
            <w:tcW w:w="14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责任单位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及责任人</w:t>
            </w:r>
          </w:p>
        </w:tc>
        <w:tc>
          <w:tcPr>
            <w:tcW w:w="42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工作内容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办结时限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43" w:hRule="atLeast"/>
        </w:trPr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受  理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政务服务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大厅窗口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王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雪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8995290286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对申请人申报材料的齐全性和合法性进行初审，对符合要求的申请予以受理并出具《受理通知书》；对申报材料不齐全或不符合法定形式的，出具《一次性告知通知书》；对不符合要求的，出具《不予受理通知书》。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不计算在办理期限内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461" w:hRule="atLeast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审  查</w:t>
            </w:r>
          </w:p>
        </w:tc>
        <w:tc>
          <w:tcPr>
            <w:tcW w:w="14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区教育体育局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基教室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王建国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13995263812</w:t>
            </w:r>
          </w:p>
        </w:tc>
        <w:tc>
          <w:tcPr>
            <w:tcW w:w="42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组织考核评估小组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对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符合申报条件且申请参加普惠性幼儿园评定的民办幼儿园，根据《宁夏回族自治区普惠性民办幼儿园评定细则》进行打分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总分达到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80分以上，可评定为普惠性幼儿园。其中：无办学许可证、收费高于同类园2.5倍，一票否决。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自窗口受理次日后第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个工作日开展评定工作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574" w:hRule="atLeast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extDirection w:val="lrTb"/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区教育体育局办公室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张军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8295021906</w:t>
            </w:r>
          </w:p>
        </w:tc>
        <w:tc>
          <w:tcPr>
            <w:tcW w:w="4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对</w:t>
            </w: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基教室送报的普惠性民办幼儿园评定资料进行复核，复核通过后盖章确认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。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评定工作结束后第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个工作日完成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631" w:hRule="atLeast"/>
        </w:trPr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决  定</w:t>
            </w:r>
          </w:p>
        </w:tc>
        <w:tc>
          <w:tcPr>
            <w:tcW w:w="1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区教育体育局</w:t>
            </w:r>
          </w:p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万东旺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18095209868</w:t>
            </w:r>
          </w:p>
        </w:tc>
        <w:tc>
          <w:tcPr>
            <w:tcW w:w="42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签发《审查意见书》，在2个工作日完成。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办公室复核通过盖章后第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个工作日完成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566" w:hRule="atLeast"/>
        </w:trPr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送  达</w:t>
            </w:r>
          </w:p>
        </w:tc>
        <w:tc>
          <w:tcPr>
            <w:tcW w:w="14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区教育体育局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eastAsia="zh-CN"/>
              </w:rPr>
              <w:t>基教室</w:t>
            </w:r>
          </w:p>
          <w:p>
            <w:pPr>
              <w:adjustRightInd w:val="0"/>
              <w:snapToGrid w:val="0"/>
              <w:spacing w:line="280" w:lineRule="atLeast"/>
              <w:jc w:val="both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赵建斌</w:t>
            </w: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13014205328</w:t>
            </w:r>
          </w:p>
        </w:tc>
        <w:tc>
          <w:tcPr>
            <w:tcW w:w="427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ind w:firstLine="480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对评定的普惠性民办幼儿园以文件的形式下发各幼儿园，并向社会公示。</w:t>
            </w:r>
          </w:p>
        </w:tc>
        <w:tc>
          <w:tcPr>
            <w:tcW w:w="17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不计算在办理期限内 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950" w:hRule="atLeast"/>
        </w:trPr>
        <w:tc>
          <w:tcPr>
            <w:tcW w:w="10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备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zh-CN"/>
              </w:rPr>
              <w:t>注</w:t>
            </w:r>
          </w:p>
        </w:tc>
        <w:tc>
          <w:tcPr>
            <w:tcW w:w="754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1.依法需要听证、招标、拍卖、检查、检测、检疫、鉴定、公示和专家评审等，不计算在办理期限内。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2.受理和送达环节不计算在办理期限内。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 xml:space="preserve">    3.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法定办理期限为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3个月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，承诺办理期限为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lang w:val="zh-CN"/>
              </w:rPr>
              <w:t>个工作日。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70C8"/>
    <w:multiLevelType w:val="singleLevel"/>
    <w:tmpl w:val="577470C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14046F"/>
    <w:multiLevelType w:val="singleLevel"/>
    <w:tmpl w:val="581404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F60FC"/>
    <w:rsid w:val="1F4B06B3"/>
    <w:rsid w:val="251F60FC"/>
    <w:rsid w:val="45FF6B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2016-10-29T01:39:00Z</dcterms:created>
  <dc:creator>Administrator</dc:creator>
  <cp:lastModifiedBy>Administrator</cp:lastModifiedBy>
  <dcterms:modified xsi:type="dcterms:W3CDTF">2016-11-02T07:36:21Z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