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240" w:lineRule="atLeast"/>
        <w:jc w:val="center"/>
        <w:rPr>
          <w:rFonts w:hint="eastAsia" w:eastAsiaTheme="minorEastAsia"/>
          <w:sz w:val="44"/>
          <w:szCs w:val="44"/>
          <w:lang w:eastAsia="zh-CN"/>
        </w:rPr>
      </w:pPr>
      <w:r>
        <w:rPr>
          <w:rFonts w:hint="eastAsia"/>
          <w:sz w:val="44"/>
          <w:szCs w:val="44"/>
          <w:lang w:eastAsia="zh-CN"/>
        </w:rPr>
        <w:t>民办非学历教育机构办学水平备案信息表</w:t>
      </w:r>
    </w:p>
    <w:tbl>
      <w:tblPr>
        <w:tblStyle w:val="4"/>
        <w:tblW w:w="8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6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事项名称</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FF0000"/>
                <w:kern w:val="0"/>
                <w:sz w:val="24"/>
              </w:rPr>
            </w:pPr>
            <w:r>
              <w:rPr>
                <w:rFonts w:hint="eastAsia" w:ascii="仿宋" w:hAnsi="仿宋" w:eastAsia="仿宋" w:cs="仿宋"/>
                <w:color w:val="FF0000"/>
                <w:kern w:val="0"/>
                <w:sz w:val="24"/>
                <w:lang w:eastAsia="zh-CN"/>
              </w:rPr>
              <w:t>民办非学历教育机构办学水平备案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事项编码</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职权类型</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FF0000"/>
                <w:kern w:val="0"/>
                <w:sz w:val="24"/>
              </w:rPr>
            </w:pPr>
            <w:r>
              <w:rPr>
                <w:rFonts w:hint="eastAsia" w:ascii="仿宋" w:hAnsi="仿宋" w:eastAsia="仿宋" w:cs="仿宋"/>
                <w:color w:val="FF0000"/>
                <w:kern w:val="0"/>
                <w:sz w:val="24"/>
                <w:lang w:eastAsia="zh-CN"/>
              </w:rPr>
              <w:t>行政检查</w:t>
            </w:r>
            <w:r>
              <w:rPr>
                <w:rFonts w:hint="eastAsia" w:ascii="仿宋" w:hAnsi="仿宋" w:eastAsia="仿宋" w:cs="仿宋"/>
                <w:color w:val="FF0000"/>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办理类型</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FF0000"/>
                <w:kern w:val="0"/>
                <w:sz w:val="24"/>
                <w:lang w:eastAsia="zh-CN"/>
              </w:rPr>
            </w:pPr>
            <w:r>
              <w:rPr>
                <w:rFonts w:hint="eastAsia" w:ascii="仿宋" w:hAnsi="仿宋" w:eastAsia="仿宋" w:cs="仿宋"/>
                <w:color w:val="FF0000"/>
                <w:kern w:val="0"/>
                <w:sz w:val="24"/>
              </w:rPr>
              <w:t>行政</w:t>
            </w:r>
            <w:r>
              <w:rPr>
                <w:rFonts w:hint="eastAsia" w:ascii="仿宋" w:hAnsi="仿宋" w:eastAsia="仿宋" w:cs="仿宋"/>
                <w:color w:val="FF0000"/>
                <w:kern w:val="0"/>
                <w:sz w:val="24"/>
                <w:lang w:eastAsia="zh-CN"/>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委托授权类型</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FF0000"/>
                <w:spacing w:val="-10"/>
                <w:kern w:val="0"/>
                <w:sz w:val="24"/>
                <w:lang w:eastAsia="zh-CN"/>
              </w:rPr>
            </w:pPr>
            <w:r>
              <w:rPr>
                <w:rFonts w:hint="eastAsia" w:ascii="仿宋" w:hAnsi="仿宋" w:eastAsia="仿宋" w:cs="仿宋"/>
                <w:color w:val="FF0000"/>
                <w:spacing w:val="-10"/>
                <w:kern w:val="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办理主体</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40" w:firstLineChars="200"/>
              <w:jc w:val="left"/>
              <w:rPr>
                <w:rFonts w:hint="eastAsia" w:ascii="仿宋" w:hAnsi="仿宋" w:eastAsia="仿宋" w:cs="仿宋"/>
                <w:color w:val="FF0000"/>
                <w:spacing w:val="-10"/>
                <w:kern w:val="0"/>
                <w:sz w:val="24"/>
              </w:rPr>
            </w:pPr>
            <w:r>
              <w:rPr>
                <w:rFonts w:hint="eastAsia" w:ascii="仿宋" w:hAnsi="仿宋" w:eastAsia="仿宋" w:cs="仿宋"/>
                <w:color w:val="FF0000"/>
                <w:spacing w:val="-10"/>
                <w:kern w:val="0"/>
                <w:sz w:val="24"/>
              </w:rPr>
              <w:t>大武口区教育体育局</w:t>
            </w:r>
            <w:r>
              <w:rPr>
                <w:rFonts w:hint="eastAsia" w:ascii="仿宋" w:hAnsi="仿宋" w:eastAsia="仿宋" w:cs="仿宋"/>
                <w:color w:val="FF0000"/>
                <w:spacing w:val="-10"/>
                <w:kern w:val="0"/>
                <w:sz w:val="24"/>
                <w:lang w:eastAsia="zh-CN"/>
              </w:rPr>
              <w:t>基础教育</w:t>
            </w:r>
            <w:r>
              <w:rPr>
                <w:rFonts w:hint="eastAsia" w:ascii="仿宋" w:hAnsi="仿宋" w:eastAsia="仿宋" w:cs="仿宋"/>
                <w:color w:val="FF0000"/>
                <w:spacing w:val="-10"/>
                <w:kern w:val="0"/>
                <w:sz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申请主体</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FF0000"/>
                <w:kern w:val="0"/>
                <w:sz w:val="24"/>
                <w:lang w:eastAsia="zh-CN"/>
              </w:rPr>
            </w:pPr>
            <w:r>
              <w:rPr>
                <w:rFonts w:hint="eastAsia" w:ascii="仿宋" w:hAnsi="仿宋" w:eastAsia="仿宋" w:cs="仿宋"/>
                <w:color w:val="FF0000"/>
                <w:kern w:val="0"/>
                <w:sz w:val="24"/>
                <w:lang w:eastAsia="zh-CN"/>
              </w:rPr>
              <w:t>有《民办学校办学许可证》资格的民办非学历教育培训机构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申请条件</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40" w:firstLineChars="200"/>
              <w:jc w:val="left"/>
              <w:rPr>
                <w:rFonts w:hint="eastAsia" w:ascii="仿宋" w:hAnsi="仿宋" w:eastAsia="仿宋" w:cs="仿宋"/>
                <w:color w:val="FF0000"/>
                <w:kern w:val="0"/>
                <w:sz w:val="24"/>
                <w:lang w:eastAsia="zh-CN"/>
              </w:rPr>
            </w:pPr>
            <w:r>
              <w:rPr>
                <w:rFonts w:hint="eastAsia" w:ascii="仿宋" w:hAnsi="仿宋" w:eastAsia="仿宋" w:cs="仿宋"/>
                <w:color w:val="FF0000"/>
                <w:kern w:val="0"/>
                <w:sz w:val="24"/>
                <w:lang w:eastAsia="zh-CN"/>
              </w:rPr>
              <w:t>由教体局随机组织人员对民办非学历教育机构办学水平进行督导评估。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数量限制</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9"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法律依据</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FF0000"/>
                <w:kern w:val="0"/>
                <w:sz w:val="24"/>
                <w:lang w:eastAsia="zh-CN"/>
              </w:rPr>
            </w:pPr>
            <w:r>
              <w:rPr>
                <w:rFonts w:hint="eastAsia" w:ascii="仿宋" w:hAnsi="仿宋" w:eastAsia="仿宋" w:cs="仿宋"/>
                <w:color w:val="FF0000"/>
                <w:kern w:val="0"/>
                <w:sz w:val="24"/>
                <w:lang w:eastAsia="zh-CN"/>
              </w:rPr>
              <w:t>【法律】《中华人民共和国民办教育促进法》（2013年修改）</w:t>
            </w:r>
          </w:p>
          <w:p>
            <w:pPr>
              <w:widowControl/>
              <w:adjustRightInd w:val="0"/>
              <w:snapToGrid w:val="0"/>
              <w:spacing w:line="360" w:lineRule="atLeast"/>
              <w:ind w:firstLine="480" w:firstLineChars="200"/>
              <w:jc w:val="left"/>
              <w:rPr>
                <w:rFonts w:hint="eastAsia" w:ascii="仿宋" w:hAnsi="仿宋" w:eastAsia="仿宋" w:cs="仿宋"/>
                <w:color w:val="FF0000"/>
                <w:kern w:val="0"/>
                <w:sz w:val="24"/>
                <w:lang w:eastAsia="zh-CN"/>
              </w:rPr>
            </w:pPr>
            <w:r>
              <w:rPr>
                <w:rFonts w:hint="eastAsia" w:ascii="仿宋" w:hAnsi="仿宋" w:eastAsia="仿宋" w:cs="仿宋"/>
                <w:color w:val="FF0000"/>
                <w:kern w:val="0"/>
                <w:sz w:val="24"/>
                <w:lang w:eastAsia="zh-CN"/>
              </w:rPr>
              <w:t>第四十条 教育行政部门及有关部门依法对民办学校实行督导，促进提高办学质量；组织或者委托社会中介组织评估办学水平和教育质量，并将评估结果向社会公布。</w:t>
            </w:r>
          </w:p>
          <w:p>
            <w:pPr>
              <w:widowControl/>
              <w:adjustRightInd w:val="0"/>
              <w:snapToGrid w:val="0"/>
              <w:spacing w:line="360" w:lineRule="atLeast"/>
              <w:ind w:firstLine="480" w:firstLineChars="200"/>
              <w:jc w:val="left"/>
              <w:rPr>
                <w:rFonts w:hint="eastAsia" w:ascii="仿宋" w:hAnsi="仿宋" w:eastAsia="仿宋" w:cs="仿宋"/>
                <w:color w:val="FF0000"/>
                <w:kern w:val="0"/>
                <w:sz w:val="24"/>
                <w:lang w:eastAsia="zh-CN"/>
              </w:rPr>
            </w:pPr>
            <w:r>
              <w:rPr>
                <w:rFonts w:hint="eastAsia" w:ascii="仿宋" w:hAnsi="仿宋" w:eastAsia="仿宋" w:cs="仿宋"/>
                <w:color w:val="FF0000"/>
                <w:kern w:val="0"/>
                <w:sz w:val="24"/>
                <w:lang w:eastAsia="zh-CN"/>
              </w:rPr>
              <w:t>【行政法规】《中华人民共和国民办教育促进法实施条例》（2004年国务院第399号令）</w:t>
            </w:r>
          </w:p>
          <w:p>
            <w:pPr>
              <w:widowControl/>
              <w:adjustRightInd w:val="0"/>
              <w:snapToGrid w:val="0"/>
              <w:spacing w:line="360" w:lineRule="atLeast"/>
              <w:ind w:firstLine="480" w:firstLineChars="200"/>
              <w:jc w:val="left"/>
              <w:rPr>
                <w:rFonts w:hint="eastAsia" w:ascii="仿宋" w:hAnsi="仿宋" w:eastAsia="仿宋" w:cs="仿宋"/>
                <w:color w:val="FF0000"/>
                <w:sz w:val="24"/>
              </w:rPr>
            </w:pPr>
            <w:r>
              <w:rPr>
                <w:rFonts w:hint="eastAsia" w:ascii="仿宋" w:hAnsi="仿宋" w:eastAsia="仿宋" w:cs="仿宋"/>
                <w:color w:val="FF0000"/>
                <w:kern w:val="0"/>
                <w:sz w:val="24"/>
                <w:lang w:eastAsia="zh-CN"/>
              </w:rPr>
              <w:t>第三十二条 教育行政部门、劳动和社会保障行政部门应当加强对民办学校的日常监督，定期组织和委托社会中介组织评估民办学校办学水平和教育质量，并鼓励和支持民办学校开展教育教学研究工作，促进民办学校提高教育教学质量。教育行政部门、劳动和社会保障行政部门对民办学校进行监督时，应当将监督的情况和处理结果予以记录，由监督人员签字后归档。公众有权查阅教育行政部门、劳动和社会保障行政部门的监督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5"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申报材料</w:t>
            </w:r>
          </w:p>
        </w:tc>
        <w:tc>
          <w:tcPr>
            <w:tcW w:w="6959"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tLeast"/>
              <w:jc w:val="left"/>
              <w:rPr>
                <w:rFonts w:hint="eastAsia" w:ascii="仿宋" w:hAnsi="仿宋" w:eastAsia="仿宋" w:cs="仿宋"/>
                <w:color w:val="FF0000"/>
                <w:kern w:val="0"/>
                <w:sz w:val="24"/>
                <w:lang w:val="en-US" w:eastAsia="zh-CN"/>
              </w:rPr>
            </w:pPr>
            <w:r>
              <w:rPr>
                <w:rFonts w:hint="eastAsia" w:ascii="仿宋" w:hAnsi="仿宋" w:eastAsia="仿宋" w:cs="仿宋"/>
                <w:color w:val="FF0000"/>
                <w:kern w:val="0"/>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服务表格</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w:t>
            </w:r>
            <w:r>
              <w:rPr>
                <w:rFonts w:hint="eastAsia" w:ascii="仿宋" w:hAnsi="仿宋" w:eastAsia="仿宋" w:cs="仿宋"/>
                <w:color w:val="FF0000"/>
                <w:kern w:val="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color w:val="000000"/>
                <w:kern w:val="0"/>
                <w:sz w:val="24"/>
              </w:rPr>
              <w:t>收费依据和标准</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法定期限</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w:t>
            </w:r>
            <w:r>
              <w:rPr>
                <w:rFonts w:hint="eastAsia" w:ascii="仿宋" w:hAnsi="仿宋" w:eastAsia="仿宋" w:cs="仿宋"/>
                <w:color w:val="FF0000"/>
                <w:kern w:val="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承诺期限</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w:t>
            </w:r>
            <w:r>
              <w:rPr>
                <w:rFonts w:hint="eastAsia" w:ascii="仿宋" w:hAnsi="仿宋" w:eastAsia="仿宋" w:cs="仿宋"/>
                <w:color w:val="FF0000"/>
                <w:kern w:val="0"/>
                <w:sz w:val="24"/>
                <w:lang w:val="en-US" w:eastAsia="zh-CN"/>
              </w:rPr>
              <w:t xml:space="preserve"> </w:t>
            </w:r>
            <w:r>
              <w:rPr>
                <w:rFonts w:hint="eastAsia" w:ascii="仿宋" w:hAnsi="仿宋" w:eastAsia="仿宋" w:cs="仿宋"/>
                <w:color w:val="FF0000"/>
                <w:kern w:val="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特殊环节</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年审或</w:t>
            </w:r>
          </w:p>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年检</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事项公示</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宁夏政务服务网、大武口区政府网、大武口区教育体育局网站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办理地点</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FF0000"/>
                <w:sz w:val="24"/>
                <w:lang w:eastAsia="zh-Hans"/>
              </w:rPr>
            </w:pPr>
            <w:r>
              <w:rPr>
                <w:rFonts w:hint="eastAsia" w:ascii="仿宋" w:hAnsi="仿宋" w:eastAsia="仿宋" w:cs="仿宋"/>
                <w:color w:val="FF0000"/>
                <w:sz w:val="24"/>
              </w:rPr>
              <w:t>大武口区</w:t>
            </w:r>
            <w:r>
              <w:rPr>
                <w:rFonts w:hint="eastAsia" w:ascii="仿宋" w:hAnsi="仿宋" w:eastAsia="仿宋" w:cs="仿宋"/>
                <w:color w:val="FF0000"/>
                <w:kern w:val="0"/>
                <w:sz w:val="24"/>
              </w:rPr>
              <w:t>政务服务大厅教育体育局</w:t>
            </w:r>
            <w:r>
              <w:rPr>
                <w:rFonts w:hint="eastAsia" w:ascii="仿宋" w:hAnsi="仿宋" w:eastAsia="仿宋" w:cs="仿宋"/>
                <w:color w:val="FF0000"/>
                <w:sz w:val="24"/>
                <w:lang w:eastAsia="zh-Hans"/>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联系电话</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sz w:val="24"/>
                <w:lang w:eastAsia="zh-Hans"/>
              </w:rPr>
            </w:pPr>
            <w:r>
              <w:rPr>
                <w:rFonts w:hint="eastAsia" w:ascii="仿宋" w:hAnsi="仿宋" w:eastAsia="仿宋" w:cs="仿宋"/>
                <w:color w:val="FF0000"/>
                <w:sz w:val="24"/>
              </w:rPr>
              <w:t xml:space="preserve">    </w:t>
            </w:r>
            <w:r>
              <w:rPr>
                <w:rFonts w:hint="eastAsia" w:ascii="仿宋" w:hAnsi="仿宋" w:eastAsia="仿宋" w:cs="仿宋"/>
                <w:color w:val="FF0000"/>
                <w:sz w:val="24"/>
                <w:lang w:eastAsia="zh-Hans"/>
              </w:rPr>
              <w:t>095</w:t>
            </w:r>
            <w:r>
              <w:rPr>
                <w:rFonts w:hint="eastAsia" w:ascii="仿宋" w:hAnsi="仿宋" w:eastAsia="仿宋" w:cs="仿宋"/>
                <w:color w:val="FF0000"/>
                <w:sz w:val="24"/>
              </w:rPr>
              <w:t>2</w:t>
            </w:r>
            <w:r>
              <w:rPr>
                <w:rFonts w:hint="eastAsia" w:ascii="仿宋" w:hAnsi="仿宋" w:eastAsia="仿宋" w:cs="仿宋"/>
                <w:color w:val="FF0000"/>
                <w:sz w:val="24"/>
                <w:lang w:eastAsia="zh-Hans"/>
              </w:rPr>
              <w:t>-</w:t>
            </w:r>
            <w:r>
              <w:rPr>
                <w:rFonts w:hint="eastAsia" w:ascii="仿宋" w:hAnsi="仿宋" w:eastAsia="仿宋" w:cs="仿宋"/>
                <w:color w:val="FF0000"/>
                <w:sz w:val="24"/>
              </w:rPr>
              <w:t>2688696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监督电话</w:t>
            </w:r>
          </w:p>
        </w:tc>
        <w:tc>
          <w:tcPr>
            <w:tcW w:w="69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0952-2688608、2012076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办理查询</w:t>
            </w:r>
          </w:p>
        </w:tc>
        <w:tc>
          <w:tcPr>
            <w:tcW w:w="69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ind w:firstLine="480" w:firstLineChars="200"/>
              <w:rPr>
                <w:rFonts w:hint="eastAsia" w:ascii="仿宋" w:hAnsi="仿宋" w:eastAsia="仿宋" w:cs="仿宋"/>
                <w:color w:val="FF0000"/>
                <w:kern w:val="0"/>
                <w:sz w:val="24"/>
              </w:rPr>
            </w:pPr>
            <w:r>
              <w:rPr>
                <w:rFonts w:hint="eastAsia" w:ascii="仿宋" w:hAnsi="仿宋" w:eastAsia="仿宋" w:cs="仿宋"/>
                <w:color w:val="FF0000"/>
                <w:kern w:val="0"/>
                <w:sz w:val="24"/>
              </w:rPr>
              <w:t>申请人可通过宁夏政务服务网、大武口区政务服务大厅窗口电话、政务服务微信平台、大武口区政务服务大厅窗口等方式查询政务服务事项的办理进程。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在线办理链接</w:t>
            </w:r>
          </w:p>
        </w:tc>
        <w:tc>
          <w:tcPr>
            <w:tcW w:w="69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ind w:firstLine="480" w:firstLineChars="200"/>
              <w:rPr>
                <w:rFonts w:hint="eastAsia" w:ascii="仿宋" w:hAnsi="仿宋" w:eastAsia="仿宋" w:cs="仿宋_GB2312"/>
                <w:color w:val="FF0000"/>
                <w:kern w:val="0"/>
                <w:sz w:val="24"/>
              </w:rPr>
            </w:pPr>
          </w:p>
        </w:tc>
      </w:tr>
    </w:tbl>
    <w:p/>
    <w:p/>
    <w:p/>
    <w:p/>
    <w:p/>
    <w:p/>
    <w:p/>
    <w:p/>
    <w:p>
      <w:pPr>
        <w:autoSpaceDE w:val="0"/>
        <w:autoSpaceDN w:val="0"/>
        <w:adjustRightInd w:val="0"/>
        <w:snapToGrid w:val="0"/>
        <w:spacing w:line="240" w:lineRule="atLeast"/>
        <w:jc w:val="both"/>
        <w:rPr>
          <w:rFonts w:hint="eastAsia" w:ascii="方正小标宋简体" w:hAnsi="宋体" w:eastAsia="方正小标宋简体" w:cs="宋体"/>
          <w:kern w:val="0"/>
          <w:sz w:val="44"/>
          <w:szCs w:val="44"/>
        </w:rPr>
      </w:pPr>
      <w:r>
        <w:rPr>
          <w:rFonts w:hint="eastAsia" w:ascii="方正小标宋简体" w:hAnsi="宋体" w:eastAsia="方正小标宋简体" w:cs="宋体"/>
          <w:color w:val="FF0000"/>
          <w:kern w:val="0"/>
          <w:sz w:val="44"/>
          <w:szCs w:val="44"/>
          <w:lang w:val="en-US" w:eastAsia="zh-CN"/>
        </w:rPr>
        <w:t xml:space="preserve"> </w:t>
      </w:r>
      <w:r>
        <w:rPr>
          <w:rFonts w:hint="eastAsia" w:ascii="方正小标宋简体" w:hAnsi="宋体" w:eastAsia="方正小标宋简体" w:cs="宋体"/>
          <w:kern w:val="0"/>
          <w:sz w:val="44"/>
          <w:szCs w:val="44"/>
          <w:lang w:eastAsia="zh-CN"/>
        </w:rPr>
        <w:t>民办非学历教育机构办学水平</w:t>
      </w:r>
      <w:r>
        <w:rPr>
          <w:rFonts w:hint="eastAsia" w:ascii="方正小标宋简体" w:hAnsi="宋体" w:eastAsia="方正小标宋简体" w:cs="宋体"/>
          <w:kern w:val="0"/>
          <w:sz w:val="44"/>
          <w:szCs w:val="44"/>
        </w:rPr>
        <w:t>办理流程</w:t>
      </w:r>
    </w:p>
    <w:tbl>
      <w:tblPr>
        <w:tblStyle w:val="4"/>
        <w:tblpPr w:leftFromText="180" w:rightFromText="180" w:vertAnchor="text" w:horzAnchor="page" w:tblpX="1650" w:tblpY="99"/>
        <w:tblOverlap w:val="never"/>
        <w:tblW w:w="8620" w:type="dxa"/>
        <w:tblInd w:w="0" w:type="dxa"/>
        <w:tblLayout w:type="fixed"/>
        <w:tblCellMar>
          <w:top w:w="0" w:type="dxa"/>
          <w:left w:w="14" w:type="dxa"/>
          <w:bottom w:w="0" w:type="dxa"/>
          <w:right w:w="14" w:type="dxa"/>
        </w:tblCellMar>
      </w:tblPr>
      <w:tblGrid>
        <w:gridCol w:w="1079"/>
        <w:gridCol w:w="1494"/>
        <w:gridCol w:w="4278"/>
        <w:gridCol w:w="1769"/>
      </w:tblGrid>
      <w:tr>
        <w:tblPrEx>
          <w:tblLayout w:type="fixed"/>
          <w:tblCellMar>
            <w:top w:w="0" w:type="dxa"/>
            <w:left w:w="14" w:type="dxa"/>
            <w:bottom w:w="0" w:type="dxa"/>
            <w:right w:w="14" w:type="dxa"/>
          </w:tblCellMar>
        </w:tblPrEx>
        <w:trPr>
          <w:trHeight w:val="1148" w:hRule="atLeast"/>
        </w:trPr>
        <w:tc>
          <w:tcPr>
            <w:tcW w:w="1079" w:type="dxa"/>
            <w:tcBorders>
              <w:top w:val="single" w:color="000000" w:sz="2" w:space="0"/>
              <w:left w:val="single" w:color="000000" w:sz="2"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程  序</w:t>
            </w:r>
          </w:p>
        </w:tc>
        <w:tc>
          <w:tcPr>
            <w:tcW w:w="1494" w:type="dxa"/>
            <w:tcBorders>
              <w:top w:val="single" w:color="000000" w:sz="2"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责任单位</w:t>
            </w:r>
          </w:p>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及责任人</w:t>
            </w:r>
          </w:p>
        </w:tc>
        <w:tc>
          <w:tcPr>
            <w:tcW w:w="4278" w:type="dxa"/>
            <w:tcBorders>
              <w:top w:val="single" w:color="000000" w:sz="2"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工作内容</w:t>
            </w:r>
          </w:p>
        </w:tc>
        <w:tc>
          <w:tcPr>
            <w:tcW w:w="1769" w:type="dxa"/>
            <w:tcBorders>
              <w:top w:val="single" w:color="000000" w:sz="2" w:space="0"/>
              <w:left w:val="single" w:color="auto" w:sz="4" w:space="0"/>
              <w:bottom w:val="single" w:color="auto" w:sz="4" w:space="0"/>
              <w:right w:val="single" w:color="000000" w:sz="2"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办结时限</w:t>
            </w:r>
          </w:p>
        </w:tc>
      </w:tr>
      <w:tr>
        <w:tblPrEx>
          <w:tblLayout w:type="fixed"/>
          <w:tblCellMar>
            <w:top w:w="0" w:type="dxa"/>
            <w:left w:w="14" w:type="dxa"/>
            <w:bottom w:w="0" w:type="dxa"/>
            <w:right w:w="14" w:type="dxa"/>
          </w:tblCellMar>
        </w:tblPrEx>
        <w:trPr>
          <w:trHeight w:val="2843" w:hRule="atLeast"/>
        </w:trPr>
        <w:tc>
          <w:tcPr>
            <w:tcW w:w="1079" w:type="dxa"/>
            <w:tcBorders>
              <w:top w:val="single" w:color="auto" w:sz="4" w:space="0"/>
              <w:left w:val="single" w:color="000000" w:sz="2"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受  理</w:t>
            </w:r>
          </w:p>
        </w:tc>
        <w:tc>
          <w:tcPr>
            <w:tcW w:w="1494" w:type="dxa"/>
            <w:tcBorders>
              <w:top w:val="single" w:color="auto" w:sz="4" w:space="0"/>
              <w:left w:val="single" w:color="auto" w:sz="4" w:space="0"/>
              <w:bottom w:val="single" w:color="000000" w:sz="2" w:space="0"/>
              <w:right w:val="single" w:color="auto" w:sz="4" w:space="0"/>
            </w:tcBorders>
            <w:vAlign w:val="center"/>
          </w:tcPr>
          <w:p>
            <w:pPr>
              <w:adjustRightInd w:val="0"/>
              <w:snapToGrid w:val="0"/>
              <w:spacing w:line="280" w:lineRule="atLeast"/>
              <w:jc w:val="center"/>
              <w:rPr>
                <w:rFonts w:hint="eastAsia" w:ascii="仿宋" w:hAnsi="仿宋" w:eastAsia="仿宋" w:cs="仿宋"/>
                <w:color w:val="FF0000"/>
                <w:kern w:val="0"/>
                <w:sz w:val="24"/>
                <w:lang w:eastAsia="zh-CN"/>
              </w:rPr>
            </w:pPr>
            <w:r>
              <w:rPr>
                <w:rFonts w:hint="eastAsia" w:ascii="仿宋" w:hAnsi="仿宋" w:eastAsia="仿宋" w:cs="仿宋"/>
                <w:color w:val="FF0000"/>
                <w:kern w:val="0"/>
                <w:sz w:val="24"/>
                <w:lang w:eastAsia="zh-CN"/>
              </w:rPr>
              <w:t>无</w:t>
            </w:r>
          </w:p>
        </w:tc>
        <w:tc>
          <w:tcPr>
            <w:tcW w:w="4278" w:type="dxa"/>
            <w:tcBorders>
              <w:top w:val="single" w:color="auto" w:sz="4" w:space="0"/>
              <w:left w:val="single" w:color="auto" w:sz="4" w:space="0"/>
              <w:bottom w:val="single" w:color="000000" w:sz="2" w:space="0"/>
              <w:right w:val="single" w:color="auto" w:sz="4" w:space="0"/>
            </w:tcBorders>
            <w:vAlign w:val="center"/>
          </w:tcPr>
          <w:p>
            <w:pPr>
              <w:adjustRightInd w:val="0"/>
              <w:snapToGrid w:val="0"/>
              <w:spacing w:line="280" w:lineRule="atLeast"/>
              <w:jc w:val="center"/>
              <w:rPr>
                <w:rFonts w:hint="eastAsia" w:ascii="仿宋" w:hAnsi="仿宋" w:eastAsia="仿宋" w:cs="仿宋"/>
                <w:color w:val="FF0000"/>
                <w:kern w:val="0"/>
                <w:sz w:val="24"/>
                <w:lang w:eastAsia="zh-CN"/>
              </w:rPr>
            </w:pPr>
            <w:r>
              <w:rPr>
                <w:rFonts w:hint="eastAsia" w:ascii="仿宋" w:hAnsi="仿宋" w:eastAsia="仿宋" w:cs="仿宋"/>
                <w:color w:val="FF0000"/>
                <w:kern w:val="0"/>
                <w:sz w:val="24"/>
                <w:lang w:eastAsia="zh-CN"/>
              </w:rPr>
              <w:t>无</w:t>
            </w:r>
          </w:p>
        </w:tc>
        <w:tc>
          <w:tcPr>
            <w:tcW w:w="1769" w:type="dxa"/>
            <w:tcBorders>
              <w:top w:val="single" w:color="auto" w:sz="4" w:space="0"/>
              <w:left w:val="single" w:color="auto" w:sz="4" w:space="0"/>
              <w:bottom w:val="single" w:color="000000" w:sz="2" w:space="0"/>
              <w:right w:val="single" w:color="000000" w:sz="2" w:space="0"/>
            </w:tcBorders>
            <w:vAlign w:val="center"/>
          </w:tcPr>
          <w:p>
            <w:pPr>
              <w:autoSpaceDE w:val="0"/>
              <w:autoSpaceDN w:val="0"/>
              <w:adjustRightInd w:val="0"/>
              <w:snapToGrid w:val="0"/>
              <w:spacing w:line="400" w:lineRule="atLeast"/>
              <w:jc w:val="center"/>
              <w:rPr>
                <w:rFonts w:hint="eastAsia" w:ascii="仿宋" w:hAnsi="仿宋" w:eastAsia="仿宋" w:cs="仿宋"/>
                <w:color w:val="FF0000"/>
                <w:kern w:val="0"/>
                <w:sz w:val="24"/>
                <w:lang w:val="zh-CN"/>
              </w:rPr>
            </w:pPr>
            <w:r>
              <w:rPr>
                <w:rFonts w:hint="eastAsia" w:ascii="仿宋" w:hAnsi="仿宋" w:eastAsia="仿宋" w:cs="仿宋"/>
                <w:color w:val="FF0000"/>
                <w:kern w:val="0"/>
                <w:sz w:val="24"/>
                <w:lang w:val="zh-CN"/>
              </w:rPr>
              <w:t>无</w:t>
            </w:r>
          </w:p>
        </w:tc>
      </w:tr>
      <w:tr>
        <w:tblPrEx>
          <w:tblLayout w:type="fixed"/>
          <w:tblCellMar>
            <w:top w:w="0" w:type="dxa"/>
            <w:left w:w="14" w:type="dxa"/>
            <w:bottom w:w="0" w:type="dxa"/>
            <w:right w:w="14" w:type="dxa"/>
          </w:tblCellMar>
        </w:tblPrEx>
        <w:trPr>
          <w:trHeight w:val="1461" w:hRule="atLeast"/>
        </w:trPr>
        <w:tc>
          <w:tcPr>
            <w:tcW w:w="1079" w:type="dxa"/>
            <w:vMerge w:val="restart"/>
            <w:tcBorders>
              <w:top w:val="single" w:color="auto" w:sz="4" w:space="0"/>
              <w:left w:val="single" w:color="000000" w:sz="2"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审  查</w:t>
            </w:r>
          </w:p>
        </w:tc>
        <w:tc>
          <w:tcPr>
            <w:tcW w:w="1494" w:type="dxa"/>
            <w:tcBorders>
              <w:top w:val="single" w:color="000000" w:sz="2" w:space="0"/>
              <w:left w:val="single" w:color="auto" w:sz="4" w:space="0"/>
              <w:bottom w:val="single" w:color="auto" w:sz="4" w:space="0"/>
              <w:right w:val="single" w:color="auto" w:sz="4" w:space="0"/>
            </w:tcBorders>
            <w:vAlign w:val="center"/>
          </w:tcPr>
          <w:p>
            <w:pPr>
              <w:adjustRightInd w:val="0"/>
              <w:snapToGrid w:val="0"/>
              <w:spacing w:line="280" w:lineRule="atLeast"/>
              <w:jc w:val="center"/>
              <w:rPr>
                <w:rFonts w:hint="eastAsia" w:ascii="仿宋" w:hAnsi="仿宋" w:eastAsia="仿宋" w:cs="仿宋"/>
                <w:color w:val="FF0000"/>
                <w:sz w:val="24"/>
                <w:lang w:eastAsia="zh-CN"/>
              </w:rPr>
            </w:pPr>
            <w:r>
              <w:rPr>
                <w:rFonts w:hint="eastAsia" w:ascii="仿宋" w:hAnsi="仿宋" w:eastAsia="仿宋" w:cs="仿宋"/>
                <w:color w:val="FF0000"/>
                <w:sz w:val="24"/>
                <w:lang w:eastAsia="zh-CN"/>
              </w:rPr>
              <w:t>无</w:t>
            </w:r>
          </w:p>
        </w:tc>
        <w:tc>
          <w:tcPr>
            <w:tcW w:w="4278" w:type="dxa"/>
            <w:tcBorders>
              <w:top w:val="single" w:color="000000" w:sz="2" w:space="0"/>
              <w:left w:val="single" w:color="auto" w:sz="4" w:space="0"/>
              <w:bottom w:val="single" w:color="auto" w:sz="4" w:space="0"/>
              <w:right w:val="single" w:color="auto" w:sz="4" w:space="0"/>
            </w:tcBorders>
            <w:vAlign w:val="center"/>
          </w:tcPr>
          <w:p>
            <w:pPr>
              <w:spacing w:line="360" w:lineRule="exact"/>
              <w:ind w:firstLine="480" w:firstLineChars="200"/>
              <w:jc w:val="left"/>
              <w:rPr>
                <w:rFonts w:hint="eastAsia" w:ascii="仿宋" w:hAnsi="仿宋" w:eastAsia="仿宋" w:cs="仿宋"/>
                <w:color w:val="FF0000"/>
                <w:sz w:val="24"/>
                <w:lang w:val="en-US" w:eastAsia="zh-CN"/>
              </w:rPr>
            </w:pPr>
            <w:r>
              <w:rPr>
                <w:rFonts w:hint="eastAsia" w:ascii="仿宋" w:hAnsi="仿宋" w:eastAsia="仿宋" w:cs="仿宋"/>
                <w:color w:val="FF0000"/>
                <w:sz w:val="24"/>
                <w:lang w:val="en-US" w:eastAsia="zh-CN"/>
              </w:rPr>
              <w:t xml:space="preserve">             无</w:t>
            </w:r>
          </w:p>
        </w:tc>
        <w:tc>
          <w:tcPr>
            <w:tcW w:w="1769" w:type="dxa"/>
            <w:tcBorders>
              <w:top w:val="single" w:color="000000" w:sz="2" w:space="0"/>
              <w:left w:val="single" w:color="auto" w:sz="4" w:space="0"/>
              <w:bottom w:val="single" w:color="auto" w:sz="4" w:space="0"/>
              <w:right w:val="single" w:color="000000" w:sz="2" w:space="0"/>
            </w:tcBorders>
            <w:vAlign w:val="center"/>
          </w:tcPr>
          <w:p>
            <w:pPr>
              <w:autoSpaceDE w:val="0"/>
              <w:autoSpaceDN w:val="0"/>
              <w:adjustRightInd w:val="0"/>
              <w:snapToGrid w:val="0"/>
              <w:spacing w:line="400" w:lineRule="atLeast"/>
              <w:jc w:val="left"/>
              <w:rPr>
                <w:rFonts w:hint="eastAsia" w:ascii="仿宋" w:hAnsi="仿宋" w:eastAsia="仿宋" w:cs="仿宋"/>
                <w:color w:val="FF0000"/>
                <w:kern w:val="0"/>
                <w:sz w:val="24"/>
                <w:lang w:val="en-US" w:eastAsia="zh-CN"/>
              </w:rPr>
            </w:pPr>
            <w:r>
              <w:rPr>
                <w:rFonts w:hint="eastAsia" w:ascii="仿宋" w:hAnsi="仿宋" w:eastAsia="仿宋" w:cs="仿宋"/>
                <w:color w:val="FF0000"/>
                <w:kern w:val="0"/>
                <w:sz w:val="24"/>
                <w:lang w:val="en-US" w:eastAsia="zh-CN"/>
              </w:rPr>
              <w:t xml:space="preserve">       无</w:t>
            </w:r>
          </w:p>
        </w:tc>
      </w:tr>
      <w:tr>
        <w:tblPrEx>
          <w:tblLayout w:type="fixed"/>
          <w:tblCellMar>
            <w:top w:w="0" w:type="dxa"/>
            <w:left w:w="14" w:type="dxa"/>
            <w:bottom w:w="0" w:type="dxa"/>
            <w:right w:w="14" w:type="dxa"/>
          </w:tblCellMar>
        </w:tblPrEx>
        <w:trPr>
          <w:trHeight w:val="1574" w:hRule="atLeast"/>
        </w:trPr>
        <w:tc>
          <w:tcPr>
            <w:tcW w:w="1079" w:type="dxa"/>
            <w:vMerge w:val="continue"/>
            <w:tcBorders>
              <w:top w:val="single" w:color="auto" w:sz="4" w:space="0"/>
              <w:left w:val="single" w:color="000000" w:sz="2" w:space="0"/>
              <w:bottom w:val="single" w:color="000000" w:sz="2"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p>
        </w:tc>
        <w:tc>
          <w:tcPr>
            <w:tcW w:w="1494" w:type="dxa"/>
            <w:tcBorders>
              <w:top w:val="single" w:color="auto" w:sz="4" w:space="0"/>
              <w:left w:val="single" w:color="auto" w:sz="4" w:space="0"/>
              <w:bottom w:val="single" w:color="000000" w:sz="2" w:space="0"/>
              <w:right w:val="single" w:color="auto" w:sz="4" w:space="0"/>
            </w:tcBorders>
            <w:vAlign w:val="center"/>
          </w:tcPr>
          <w:p>
            <w:pPr>
              <w:spacing w:line="360" w:lineRule="exact"/>
              <w:jc w:val="center"/>
              <w:rPr>
                <w:rFonts w:hint="eastAsia" w:ascii="仿宋" w:hAnsi="仿宋" w:eastAsia="仿宋" w:cs="仿宋"/>
                <w:color w:val="FF0000"/>
                <w:sz w:val="24"/>
                <w:lang w:eastAsia="zh-CN"/>
              </w:rPr>
            </w:pPr>
            <w:r>
              <w:rPr>
                <w:rFonts w:hint="eastAsia" w:ascii="仿宋" w:hAnsi="仿宋" w:eastAsia="仿宋" w:cs="仿宋"/>
                <w:color w:val="FF0000"/>
                <w:sz w:val="24"/>
                <w:lang w:eastAsia="zh-CN"/>
              </w:rPr>
              <w:t>无</w:t>
            </w:r>
          </w:p>
        </w:tc>
        <w:tc>
          <w:tcPr>
            <w:tcW w:w="427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both"/>
              <w:rPr>
                <w:rFonts w:hint="eastAsia" w:ascii="仿宋" w:hAnsi="仿宋" w:eastAsia="仿宋" w:cs="仿宋"/>
                <w:color w:val="FF0000"/>
                <w:sz w:val="24"/>
                <w:lang w:eastAsia="zh-CN"/>
              </w:rPr>
            </w:pPr>
            <w:r>
              <w:rPr>
                <w:rFonts w:hint="eastAsia" w:ascii="仿宋" w:hAnsi="仿宋" w:eastAsia="仿宋" w:cs="仿宋"/>
                <w:color w:val="FF0000"/>
                <w:sz w:val="24"/>
                <w:lang w:val="en-US" w:eastAsia="zh-CN"/>
              </w:rPr>
              <w:t xml:space="preserve">            </w:t>
            </w:r>
            <w:r>
              <w:rPr>
                <w:rFonts w:hint="eastAsia" w:ascii="仿宋" w:hAnsi="仿宋" w:eastAsia="仿宋" w:cs="仿宋"/>
                <w:color w:val="FF0000"/>
                <w:sz w:val="24"/>
                <w:lang w:eastAsia="zh-CN"/>
              </w:rPr>
              <w:t>无</w:t>
            </w:r>
          </w:p>
        </w:tc>
        <w:tc>
          <w:tcPr>
            <w:tcW w:w="1769"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napToGrid w:val="0"/>
              <w:spacing w:line="400" w:lineRule="atLeast"/>
              <w:jc w:val="center"/>
              <w:rPr>
                <w:rFonts w:hint="eastAsia" w:ascii="仿宋" w:hAnsi="仿宋" w:eastAsia="仿宋" w:cs="仿宋"/>
                <w:color w:val="FF0000"/>
                <w:kern w:val="0"/>
                <w:sz w:val="24"/>
                <w:lang w:val="zh-CN"/>
              </w:rPr>
            </w:pPr>
            <w:r>
              <w:rPr>
                <w:rFonts w:hint="eastAsia" w:ascii="仿宋" w:hAnsi="仿宋" w:eastAsia="仿宋" w:cs="仿宋"/>
                <w:color w:val="FF0000"/>
                <w:kern w:val="0"/>
                <w:sz w:val="24"/>
                <w:lang w:val="zh-CN"/>
              </w:rPr>
              <w:t>无</w:t>
            </w:r>
          </w:p>
        </w:tc>
      </w:tr>
      <w:tr>
        <w:tblPrEx>
          <w:tblLayout w:type="fixed"/>
          <w:tblCellMar>
            <w:top w:w="0" w:type="dxa"/>
            <w:left w:w="14" w:type="dxa"/>
            <w:bottom w:w="0" w:type="dxa"/>
            <w:right w:w="14" w:type="dxa"/>
          </w:tblCellMar>
        </w:tblPrEx>
        <w:trPr>
          <w:trHeight w:val="1631" w:hRule="atLeast"/>
        </w:trPr>
        <w:tc>
          <w:tcPr>
            <w:tcW w:w="107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决  定</w:t>
            </w:r>
          </w:p>
        </w:tc>
        <w:tc>
          <w:tcPr>
            <w:tcW w:w="1494" w:type="dxa"/>
            <w:tcBorders>
              <w:top w:val="single" w:color="000000" w:sz="2" w:space="0"/>
              <w:left w:val="single" w:color="000000" w:sz="2" w:space="0"/>
              <w:bottom w:val="single" w:color="000000" w:sz="2" w:space="0"/>
              <w:right w:val="single" w:color="auto" w:sz="4" w:space="0"/>
            </w:tcBorders>
            <w:vAlign w:val="center"/>
          </w:tcPr>
          <w:p>
            <w:pPr>
              <w:adjustRightInd w:val="0"/>
              <w:snapToGrid w:val="0"/>
              <w:spacing w:line="280" w:lineRule="atLeast"/>
              <w:jc w:val="center"/>
              <w:rPr>
                <w:rFonts w:hint="eastAsia" w:ascii="仿宋" w:hAnsi="仿宋" w:eastAsia="仿宋" w:cs="仿宋"/>
                <w:color w:val="FF0000"/>
                <w:kern w:val="0"/>
                <w:sz w:val="24"/>
                <w:lang w:val="zh-CN"/>
              </w:rPr>
            </w:pPr>
            <w:r>
              <w:rPr>
                <w:rFonts w:hint="eastAsia" w:ascii="仿宋" w:hAnsi="仿宋" w:eastAsia="仿宋" w:cs="仿宋"/>
                <w:color w:val="FF0000"/>
                <w:kern w:val="0"/>
                <w:sz w:val="24"/>
                <w:lang w:val="zh-CN"/>
              </w:rPr>
              <w:t>检查组</w:t>
            </w:r>
          </w:p>
        </w:tc>
        <w:tc>
          <w:tcPr>
            <w:tcW w:w="4278" w:type="dxa"/>
            <w:tcBorders>
              <w:top w:val="single" w:color="000000" w:sz="2" w:space="0"/>
              <w:left w:val="single" w:color="auto" w:sz="4" w:space="0"/>
              <w:bottom w:val="single" w:color="000000" w:sz="2" w:space="0"/>
              <w:right w:val="single" w:color="auto" w:sz="4" w:space="0"/>
            </w:tcBorders>
            <w:vAlign w:val="center"/>
          </w:tcPr>
          <w:p>
            <w:pPr>
              <w:autoSpaceDE w:val="0"/>
              <w:autoSpaceDN w:val="0"/>
              <w:adjustRightInd w:val="0"/>
              <w:snapToGrid w:val="0"/>
              <w:spacing w:line="400" w:lineRule="atLeast"/>
              <w:jc w:val="left"/>
              <w:rPr>
                <w:rFonts w:hint="eastAsia" w:ascii="仿宋" w:hAnsi="仿宋" w:eastAsia="仿宋" w:cs="仿宋"/>
                <w:color w:val="FF0000"/>
                <w:kern w:val="0"/>
                <w:sz w:val="24"/>
                <w:lang w:val="zh-CN"/>
              </w:rPr>
            </w:pPr>
            <w:r>
              <w:rPr>
                <w:rFonts w:hint="eastAsia" w:ascii="仿宋" w:hAnsi="仿宋" w:eastAsia="仿宋" w:cs="仿宋"/>
                <w:color w:val="FF0000"/>
                <w:kern w:val="0"/>
                <w:sz w:val="24"/>
                <w:lang w:val="en-US" w:eastAsia="zh-CN"/>
              </w:rPr>
              <w:t xml:space="preserve">              </w:t>
            </w:r>
            <w:r>
              <w:rPr>
                <w:rFonts w:hint="eastAsia" w:ascii="仿宋" w:hAnsi="仿宋" w:eastAsia="仿宋" w:cs="仿宋"/>
                <w:color w:val="FF0000"/>
                <w:kern w:val="0"/>
                <w:sz w:val="24"/>
                <w:lang w:val="zh-CN"/>
              </w:rPr>
              <w:t>督导评估</w:t>
            </w:r>
          </w:p>
        </w:tc>
        <w:tc>
          <w:tcPr>
            <w:tcW w:w="1769" w:type="dxa"/>
            <w:tcBorders>
              <w:top w:val="single" w:color="000000" w:sz="2" w:space="0"/>
              <w:left w:val="single" w:color="auto" w:sz="4" w:space="0"/>
              <w:bottom w:val="single" w:color="auto" w:sz="4" w:space="0"/>
              <w:right w:val="single" w:color="000000" w:sz="2" w:space="0"/>
            </w:tcBorders>
            <w:vAlign w:val="center"/>
          </w:tcPr>
          <w:p>
            <w:pPr>
              <w:autoSpaceDE w:val="0"/>
              <w:autoSpaceDN w:val="0"/>
              <w:adjustRightInd w:val="0"/>
              <w:snapToGrid w:val="0"/>
              <w:spacing w:line="400" w:lineRule="atLeast"/>
              <w:jc w:val="left"/>
              <w:rPr>
                <w:rFonts w:hint="eastAsia" w:ascii="仿宋" w:hAnsi="仿宋" w:eastAsia="仿宋" w:cs="仿宋"/>
                <w:color w:val="FF0000"/>
                <w:kern w:val="0"/>
                <w:sz w:val="24"/>
                <w:lang w:val="en-US" w:eastAsia="zh-CN"/>
              </w:rPr>
            </w:pPr>
            <w:r>
              <w:rPr>
                <w:rFonts w:hint="eastAsia" w:ascii="仿宋" w:hAnsi="仿宋" w:eastAsia="仿宋" w:cs="仿宋"/>
                <w:color w:val="FF0000"/>
                <w:kern w:val="0"/>
                <w:sz w:val="24"/>
                <w:lang w:val="en-US" w:eastAsia="zh-CN"/>
              </w:rPr>
              <w:t xml:space="preserve">       无</w:t>
            </w:r>
          </w:p>
        </w:tc>
      </w:tr>
      <w:tr>
        <w:tblPrEx>
          <w:tblLayout w:type="fixed"/>
          <w:tblCellMar>
            <w:top w:w="0" w:type="dxa"/>
            <w:left w:w="14" w:type="dxa"/>
            <w:bottom w:w="0" w:type="dxa"/>
            <w:right w:w="14" w:type="dxa"/>
          </w:tblCellMar>
        </w:tblPrEx>
        <w:trPr>
          <w:trHeight w:val="1566" w:hRule="atLeast"/>
        </w:trPr>
        <w:tc>
          <w:tcPr>
            <w:tcW w:w="107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送  达</w:t>
            </w:r>
          </w:p>
        </w:tc>
        <w:tc>
          <w:tcPr>
            <w:tcW w:w="1494" w:type="dxa"/>
            <w:tcBorders>
              <w:top w:val="single" w:color="000000" w:sz="2" w:space="0"/>
              <w:left w:val="single" w:color="000000" w:sz="2" w:space="0"/>
              <w:bottom w:val="single" w:color="000000" w:sz="2" w:space="0"/>
              <w:right w:val="single" w:color="auto" w:sz="4" w:space="0"/>
            </w:tcBorders>
            <w:vAlign w:val="center"/>
          </w:tcPr>
          <w:p>
            <w:pPr>
              <w:adjustRightInd w:val="0"/>
              <w:snapToGrid w:val="0"/>
              <w:spacing w:line="280" w:lineRule="atLeast"/>
              <w:jc w:val="center"/>
              <w:rPr>
                <w:rFonts w:hint="eastAsia" w:ascii="仿宋" w:hAnsi="仿宋" w:eastAsia="仿宋" w:cs="仿宋"/>
                <w:color w:val="FF0000"/>
                <w:kern w:val="0"/>
                <w:sz w:val="24"/>
                <w:lang w:eastAsia="zh-CN"/>
              </w:rPr>
            </w:pPr>
            <w:r>
              <w:rPr>
                <w:rFonts w:hint="eastAsia" w:ascii="仿宋" w:hAnsi="仿宋" w:eastAsia="仿宋" w:cs="仿宋"/>
                <w:color w:val="FF0000"/>
                <w:kern w:val="0"/>
                <w:sz w:val="24"/>
                <w:lang w:eastAsia="zh-CN"/>
              </w:rPr>
              <w:t>检查组</w:t>
            </w:r>
          </w:p>
        </w:tc>
        <w:tc>
          <w:tcPr>
            <w:tcW w:w="4278" w:type="dxa"/>
            <w:tcBorders>
              <w:top w:val="single" w:color="000000" w:sz="2" w:space="0"/>
              <w:left w:val="single" w:color="auto" w:sz="4" w:space="0"/>
              <w:bottom w:val="single" w:color="000000" w:sz="2" w:space="0"/>
              <w:right w:val="single" w:color="auto" w:sz="4" w:space="0"/>
            </w:tcBorders>
            <w:vAlign w:val="center"/>
          </w:tcPr>
          <w:p>
            <w:pPr>
              <w:autoSpaceDE w:val="0"/>
              <w:autoSpaceDN w:val="0"/>
              <w:adjustRightInd w:val="0"/>
              <w:snapToGrid w:val="0"/>
              <w:spacing w:line="400" w:lineRule="atLeast"/>
              <w:ind w:firstLine="480"/>
              <w:jc w:val="left"/>
              <w:rPr>
                <w:rFonts w:hint="eastAsia" w:ascii="仿宋" w:hAnsi="仿宋" w:eastAsia="仿宋" w:cs="仿宋"/>
                <w:color w:val="FF0000"/>
                <w:kern w:val="0"/>
                <w:sz w:val="24"/>
                <w:lang w:val="zh-CN"/>
              </w:rPr>
            </w:pPr>
            <w:r>
              <w:rPr>
                <w:rFonts w:hint="eastAsia" w:ascii="仿宋" w:hAnsi="仿宋" w:eastAsia="仿宋" w:cs="仿宋"/>
                <w:color w:val="FF0000"/>
                <w:kern w:val="0"/>
                <w:sz w:val="24"/>
                <w:lang w:val="zh-CN"/>
              </w:rPr>
              <w:t>当场反馈，提出整改意见。</w:t>
            </w:r>
          </w:p>
        </w:tc>
        <w:tc>
          <w:tcPr>
            <w:tcW w:w="1769" w:type="dxa"/>
            <w:tcBorders>
              <w:top w:val="single" w:color="000000" w:sz="2" w:space="0"/>
              <w:left w:val="single" w:color="auto" w:sz="4" w:space="0"/>
              <w:bottom w:val="single" w:color="auto" w:sz="4" w:space="0"/>
              <w:right w:val="single" w:color="000000" w:sz="2" w:space="0"/>
            </w:tcBorders>
            <w:vAlign w:val="center"/>
          </w:tcPr>
          <w:p>
            <w:pPr>
              <w:autoSpaceDE w:val="0"/>
              <w:autoSpaceDN w:val="0"/>
              <w:adjustRightInd w:val="0"/>
              <w:snapToGrid w:val="0"/>
              <w:spacing w:line="400" w:lineRule="atLeast"/>
              <w:jc w:val="left"/>
              <w:rPr>
                <w:rFonts w:hint="eastAsia" w:ascii="仿宋" w:hAnsi="仿宋" w:eastAsia="仿宋" w:cs="仿宋"/>
                <w:color w:val="FF0000"/>
                <w:kern w:val="0"/>
                <w:sz w:val="24"/>
                <w:lang w:val="en-US" w:eastAsia="zh-CN"/>
              </w:rPr>
            </w:pPr>
            <w:r>
              <w:rPr>
                <w:rFonts w:hint="eastAsia" w:ascii="仿宋" w:hAnsi="仿宋" w:eastAsia="仿宋" w:cs="仿宋"/>
                <w:color w:val="FF0000"/>
                <w:kern w:val="0"/>
                <w:sz w:val="24"/>
                <w:lang w:val="en-US" w:eastAsia="zh-CN"/>
              </w:rPr>
              <w:t xml:space="preserve">       无</w:t>
            </w:r>
            <w:bookmarkStart w:id="0" w:name="_GoBack"/>
            <w:bookmarkEnd w:id="0"/>
          </w:p>
        </w:tc>
      </w:tr>
      <w:tr>
        <w:tblPrEx>
          <w:tblLayout w:type="fixed"/>
          <w:tblCellMar>
            <w:top w:w="0" w:type="dxa"/>
            <w:left w:w="14" w:type="dxa"/>
            <w:bottom w:w="0" w:type="dxa"/>
            <w:right w:w="14" w:type="dxa"/>
          </w:tblCellMar>
        </w:tblPrEx>
        <w:trPr>
          <w:trHeight w:val="1571" w:hRule="atLeast"/>
        </w:trPr>
        <w:tc>
          <w:tcPr>
            <w:tcW w:w="107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备</w:t>
            </w:r>
            <w:r>
              <w:rPr>
                <w:rFonts w:hint="eastAsia" w:ascii="黑体" w:hAnsi="黑体" w:eastAsia="黑体" w:cs="黑体"/>
                <w:kern w:val="0"/>
                <w:sz w:val="24"/>
              </w:rPr>
              <w:t xml:space="preserve">  </w:t>
            </w:r>
            <w:r>
              <w:rPr>
                <w:rFonts w:hint="eastAsia" w:ascii="黑体" w:hAnsi="黑体" w:eastAsia="黑体" w:cs="黑体"/>
                <w:kern w:val="0"/>
                <w:sz w:val="24"/>
                <w:lang w:val="zh-CN"/>
              </w:rPr>
              <w:t>注</w:t>
            </w:r>
          </w:p>
        </w:tc>
        <w:tc>
          <w:tcPr>
            <w:tcW w:w="7541" w:type="dxa"/>
            <w:gridSpan w:val="3"/>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napToGrid w:val="0"/>
              <w:spacing w:line="400" w:lineRule="atLeas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1.依法需要听证、招标、拍卖、检查、检测、检疫、鉴定、公示和专家评审等，不计算在办理期限内。</w:t>
            </w:r>
          </w:p>
          <w:p>
            <w:pPr>
              <w:autoSpaceDE w:val="0"/>
              <w:autoSpaceDN w:val="0"/>
              <w:adjustRightInd w:val="0"/>
              <w:snapToGrid w:val="0"/>
              <w:spacing w:line="400" w:lineRule="atLeas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2.受理和送达环节不计算在办理期限内。</w:t>
            </w:r>
          </w:p>
          <w:p>
            <w:pPr>
              <w:autoSpaceDE w:val="0"/>
              <w:autoSpaceDN w:val="0"/>
              <w:adjustRightInd w:val="0"/>
              <w:snapToGrid w:val="0"/>
              <w:spacing w:line="400" w:lineRule="atLeast"/>
              <w:jc w:val="left"/>
              <w:rPr>
                <w:rFonts w:hint="eastAsia" w:ascii="仿宋" w:hAnsi="仿宋" w:eastAsia="仿宋" w:cs="仿宋"/>
                <w:color w:val="FF0000"/>
                <w:kern w:val="0"/>
                <w:sz w:val="24"/>
                <w:lang w:val="zh-CN"/>
              </w:rPr>
            </w:pPr>
            <w:r>
              <w:rPr>
                <w:rFonts w:hint="eastAsia" w:ascii="仿宋" w:hAnsi="仿宋" w:eastAsia="仿宋" w:cs="仿宋"/>
                <w:color w:val="FF0000"/>
                <w:kern w:val="0"/>
                <w:sz w:val="24"/>
              </w:rPr>
              <w:t xml:space="preserve">    3.</w:t>
            </w:r>
            <w:r>
              <w:rPr>
                <w:rFonts w:hint="eastAsia" w:ascii="仿宋" w:hAnsi="仿宋" w:eastAsia="仿宋" w:cs="仿宋"/>
                <w:color w:val="FF0000"/>
                <w:kern w:val="0"/>
                <w:sz w:val="24"/>
                <w:lang w:val="zh-CN"/>
              </w:rPr>
              <w:t>法定办理期限为</w:t>
            </w:r>
            <w:r>
              <w:rPr>
                <w:rFonts w:hint="eastAsia" w:ascii="仿宋" w:hAnsi="仿宋" w:eastAsia="仿宋" w:cs="仿宋"/>
                <w:color w:val="FF0000"/>
                <w:kern w:val="0"/>
                <w:sz w:val="24"/>
              </w:rPr>
              <w:t>3个月</w:t>
            </w:r>
            <w:r>
              <w:rPr>
                <w:rFonts w:hint="eastAsia" w:ascii="仿宋" w:hAnsi="仿宋" w:eastAsia="仿宋" w:cs="仿宋"/>
                <w:color w:val="FF0000"/>
                <w:kern w:val="0"/>
                <w:sz w:val="24"/>
                <w:lang w:val="zh-CN"/>
              </w:rPr>
              <w:t>，承诺办理期限为</w:t>
            </w:r>
            <w:r>
              <w:rPr>
                <w:rFonts w:hint="eastAsia" w:ascii="仿宋" w:hAnsi="仿宋" w:eastAsia="仿宋" w:cs="仿宋"/>
                <w:color w:val="FF0000"/>
                <w:kern w:val="0"/>
                <w:sz w:val="24"/>
              </w:rPr>
              <w:t>15</w:t>
            </w:r>
            <w:r>
              <w:rPr>
                <w:rFonts w:hint="eastAsia" w:ascii="仿宋" w:hAnsi="仿宋" w:eastAsia="仿宋" w:cs="仿宋"/>
                <w:color w:val="FF0000"/>
                <w:kern w:val="0"/>
                <w:sz w:val="24"/>
                <w:lang w:val="zh-CN"/>
              </w:rPr>
              <w:t>个工作日。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Lucida Sans Unicode">
    <w:panose1 w:val="020B0602030504020204"/>
    <w:charset w:val="00"/>
    <w:family w:val="swiss"/>
    <w:pitch w:val="default"/>
    <w:sig w:usb0="80001AFF" w:usb1="0000396B" w:usb2="00000000" w:usb3="00000000" w:csb0="0000003F" w:csb1="D7F70000"/>
  </w:font>
  <w:font w:name="方正小标宋简体">
    <w:altName w:val="黑体"/>
    <w:panose1 w:val="03000509000000000000"/>
    <w:charset w:val="86"/>
    <w:family w:val="script"/>
    <w:pitch w:val="default"/>
    <w:sig w:usb0="00000000" w:usb1="00000000" w:usb2="00000000" w:usb3="00000000" w:csb0="00040000" w:csb1="00000000"/>
  </w:font>
  <w:font w:name="黑体">
    <w:panose1 w:val="02010600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仿宋">
    <w:altName w:val="仿宋_GB2312"/>
    <w:panose1 w:val="02010609060101010101"/>
    <w:charset w:val="86"/>
    <w:family w:val="swiss"/>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黑体">
    <w:panose1 w:val="02010600030101010101"/>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微软雅黑">
    <w:altName w:val="黑体"/>
    <w:panose1 w:val="00000000000000000000"/>
    <w:charset w:val="00"/>
    <w:family w:val="auto"/>
    <w:pitch w:val="default"/>
    <w:sig w:usb0="00000000" w:usb1="00000000" w:usb2="00000000" w:usb3="00000000" w:csb0="00000000" w:csb1="00000000"/>
  </w:font>
  <w:font w:name="仿宋">
    <w:altName w:val="仿宋_GB2312"/>
    <w:panose1 w:val="00000000000000000000"/>
    <w:charset w:val="00"/>
    <w:family w:val="auto"/>
    <w:pitch w:val="default"/>
    <w:sig w:usb0="00000000" w:usb1="00000000" w:usb2="00000000" w:usb3="00000000" w:csb0="00000000" w:csb1="00000000"/>
  </w:font>
  <w:font w:name="Lucida Sans Unicode">
    <w:panose1 w:val="020B0602030504020204"/>
    <w:charset w:val="00"/>
    <w:family w:val="swiss"/>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Microsoft Sans Serif">
    <w:panose1 w:val="020B0604020202020204"/>
    <w:charset w:val="00"/>
    <w:family w:val="auto"/>
    <w:pitch w:val="default"/>
    <w:sig w:usb0="61007BDF" w:usb1="80000000" w:usb2="00000008" w:usb3="00000000" w:csb0="200101FF" w:csb1="20280000"/>
  </w:font>
  <w:font w:name="Microsoft Sans Serif">
    <w:panose1 w:val="020B0604020202020204"/>
    <w:charset w:val="00"/>
    <w:family w:val="swiss"/>
    <w:pitch w:val="default"/>
    <w:sig w:usb0="61007BDF" w:usb1="80000000" w:usb2="00000008" w:usb3="00000000" w:csb0="200101FF" w:csb1="20280000"/>
  </w:font>
  <w:font w:name="Arial Narrow">
    <w:altName w:val="Arial"/>
    <w:panose1 w:val="020B0606020202030204"/>
    <w:charset w:val="00"/>
    <w:family w:val="auto"/>
    <w:pitch w:val="default"/>
    <w:sig w:usb0="00000000" w:usb1="00000000" w:usb2="00000000" w:usb3="00000000" w:csb0="2000009F" w:csb1="DFD70000"/>
  </w:font>
  <w:font w:name="Arial Narrow">
    <w:altName w:val="Arial"/>
    <w:panose1 w:val="020B0606020202030204"/>
    <w:charset w:val="01"/>
    <w:family w:val="swiss"/>
    <w:pitch w:val="default"/>
    <w:sig w:usb0="00000000" w:usb1="00000000" w:usb2="00000000" w:usb3="00000000" w:csb0="2000009F" w:csb1="DFD70000"/>
  </w:font>
  <w:font w:name="Wingdings 2">
    <w:altName w:val="Wingdings"/>
    <w:panose1 w:val="05020102010507070707"/>
    <w:charset w:val="00"/>
    <w:family w:val="auto"/>
    <w:pitch w:val="default"/>
    <w:sig w:usb0="00000000" w:usb1="00000000" w:usb2="00000000" w:usb3="00000000" w:csb0="80000000" w:csb1="00000000"/>
  </w:font>
  <w:font w:name="Bookshelf Symbol 7">
    <w:altName w:val="Symbol"/>
    <w:panose1 w:val="05010101010101010101"/>
    <w:charset w:val="00"/>
    <w:family w:val="auto"/>
    <w:pitch w:val="default"/>
    <w:sig w:usb0="00000000" w:usb1="00000000" w:usb2="00000000" w:usb3="00000000" w:csb0="80000000" w:csb1="00000000"/>
  </w:font>
  <w:font w:name="PMingLiU">
    <w:panose1 w:val="02020300000000000000"/>
    <w:charset w:val="88"/>
    <w:family w:val="auto"/>
    <w:pitch w:val="default"/>
    <w:sig w:usb0="00000003" w:usb1="082E0000" w:usb2="00000016" w:usb3="00000000" w:csb0="00100001" w:csb1="00000000"/>
  </w:font>
  <w:font w:name="MS Reference Sans Serif">
    <w:altName w:val="Verdana"/>
    <w:panose1 w:val="020B0604030504040204"/>
    <w:charset w:val="00"/>
    <w:family w:val="auto"/>
    <w:pitch w:val="default"/>
    <w:sig w:usb0="00000000" w:usb1="00000000" w:usb2="00000000" w:usb3="00000000" w:csb0="2000019F" w:csb1="00000000"/>
  </w:font>
  <w:font w:name="Book Antiqua">
    <w:altName w:val="Palatino Linotype"/>
    <w:panose1 w:val="02040602050305030304"/>
    <w:charset w:val="00"/>
    <w:family w:val="auto"/>
    <w:pitch w:val="default"/>
    <w:sig w:usb0="00000000" w:usb1="00000000" w:usb2="00000000" w:usb3="00000000" w:csb0="2000009F" w:csb1="DFD70000"/>
  </w:font>
  <w:font w:name="MingLiU">
    <w:panose1 w:val="02020309000000000000"/>
    <w:charset w:val="88"/>
    <w:family w:val="auto"/>
    <w:pitch w:val="default"/>
    <w:sig w:usb0="00000003" w:usb1="082E0000" w:usb2="00000016" w:usb3="00000000" w:csb0="00100001" w:csb1="00000000"/>
  </w:font>
  <w:font w:name="Bookman Old Style">
    <w:altName w:val="Georgia"/>
    <w:panose1 w:val="02050604050505020204"/>
    <w:charset w:val="00"/>
    <w:family w:val="auto"/>
    <w:pitch w:val="default"/>
    <w:sig w:usb0="00000000" w:usb1="00000000" w:usb2="00000000" w:usb3="00000000" w:csb0="2000009F" w:csb1="DFD7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00000287" w:usb1="00000000" w:usb2="00000000" w:usb3="00000000" w:csb0="2000019F" w:csb1="00000000"/>
  </w:font>
  <w:font w:name="Georgia">
    <w:panose1 w:val="02040502050405020303"/>
    <w:charset w:val="00"/>
    <w:family w:val="auto"/>
    <w:pitch w:val="default"/>
    <w:sig w:usb0="00000287" w:usb1="00000000" w:usb2="00000000" w:usb3="00000000" w:csb0="2000009F" w:csb1="00000000"/>
  </w:font>
  <w:font w:name="黑体">
    <w:panose1 w:val="02010600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E47124"/>
    <w:rsid w:val="0EA16ECB"/>
    <w:rsid w:val="1AE40DFB"/>
    <w:rsid w:val="213C1F50"/>
    <w:rsid w:val="66E4712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2016-06-30T01:53:00Z</dcterms:created>
  <dc:creator>Administrator</dc:creator>
  <cp:lastModifiedBy>Administrator</cp:lastModifiedBy>
  <dcterms:modified xsi:type="dcterms:W3CDTF">2016-07-12T04:01:48Z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