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40" w:lineRule="atLeast"/>
        <w:jc w:val="center"/>
        <w:rPr>
          <w:rFonts w:hint="eastAsia" w:eastAsiaTheme="minorEastAsia"/>
          <w:sz w:val="44"/>
          <w:szCs w:val="44"/>
          <w:lang w:eastAsia="zh-CN"/>
        </w:rPr>
      </w:pPr>
      <w:r>
        <w:rPr>
          <w:rFonts w:hint="eastAsia"/>
          <w:sz w:val="44"/>
          <w:szCs w:val="44"/>
          <w:lang w:eastAsia="zh-CN"/>
        </w:rPr>
        <w:t>民办非学历教育机构办学水平备案信息表</w:t>
      </w:r>
    </w:p>
    <w:tbl>
      <w:tblPr>
        <w:tblStyle w:val="4"/>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事项名称</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FF0000"/>
                <w:kern w:val="0"/>
                <w:sz w:val="24"/>
              </w:rPr>
            </w:pPr>
            <w:r>
              <w:rPr>
                <w:rFonts w:hint="eastAsia" w:ascii="仿宋" w:hAnsi="仿宋" w:eastAsia="仿宋" w:cs="仿宋"/>
                <w:color w:val="FF0000"/>
                <w:kern w:val="0"/>
                <w:sz w:val="24"/>
                <w:lang w:eastAsia="zh-CN"/>
              </w:rPr>
              <w:t>民办非学历教育机构办学水平备案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事项编码</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职权类型</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FF0000"/>
                <w:kern w:val="0"/>
                <w:sz w:val="24"/>
              </w:rPr>
            </w:pPr>
            <w:r>
              <w:rPr>
                <w:rFonts w:hint="eastAsia" w:ascii="仿宋" w:hAnsi="仿宋" w:eastAsia="仿宋" w:cs="仿宋"/>
                <w:color w:val="FF0000"/>
                <w:kern w:val="0"/>
                <w:sz w:val="24"/>
                <w:lang w:eastAsia="zh-CN"/>
              </w:rPr>
              <w:t>行政检查</w:t>
            </w:r>
            <w:r>
              <w:rPr>
                <w:rFonts w:hint="eastAsia" w:ascii="仿宋" w:hAnsi="仿宋" w:eastAsia="仿宋" w:cs="仿宋"/>
                <w:color w:val="FF0000"/>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办理类型</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FF0000"/>
                <w:kern w:val="0"/>
                <w:sz w:val="24"/>
                <w:lang w:eastAsia="zh-CN"/>
              </w:rPr>
            </w:pPr>
            <w:r>
              <w:rPr>
                <w:rFonts w:hint="eastAsia" w:ascii="仿宋" w:hAnsi="仿宋" w:eastAsia="仿宋" w:cs="仿宋"/>
                <w:color w:val="FF0000"/>
                <w:kern w:val="0"/>
                <w:sz w:val="24"/>
              </w:rPr>
              <w:t>行政</w:t>
            </w:r>
            <w:r>
              <w:rPr>
                <w:rFonts w:hint="eastAsia" w:ascii="仿宋" w:hAnsi="仿宋" w:eastAsia="仿宋" w:cs="仿宋"/>
                <w:color w:val="FF0000"/>
                <w:kern w:val="0"/>
                <w:sz w:val="24"/>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委托授权类型</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FF0000"/>
                <w:spacing w:val="-10"/>
                <w:kern w:val="0"/>
                <w:sz w:val="24"/>
                <w:lang w:eastAsia="zh-CN"/>
              </w:rPr>
            </w:pPr>
            <w:r>
              <w:rPr>
                <w:rFonts w:hint="eastAsia" w:ascii="仿宋" w:hAnsi="仿宋" w:eastAsia="仿宋" w:cs="仿宋"/>
                <w:color w:val="FF0000"/>
                <w:spacing w:val="-10"/>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办理主体</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40" w:firstLineChars="200"/>
              <w:jc w:val="left"/>
              <w:rPr>
                <w:rFonts w:hint="eastAsia" w:ascii="仿宋" w:hAnsi="仿宋" w:eastAsia="仿宋" w:cs="仿宋"/>
                <w:color w:val="FF0000"/>
                <w:spacing w:val="-10"/>
                <w:kern w:val="0"/>
                <w:sz w:val="24"/>
              </w:rPr>
            </w:pPr>
            <w:r>
              <w:rPr>
                <w:rFonts w:hint="eastAsia" w:ascii="仿宋" w:hAnsi="仿宋" w:eastAsia="仿宋" w:cs="仿宋"/>
                <w:color w:val="FF0000"/>
                <w:spacing w:val="-10"/>
                <w:kern w:val="0"/>
                <w:sz w:val="24"/>
              </w:rPr>
              <w:t>大武口区教育体育局</w:t>
            </w:r>
            <w:r>
              <w:rPr>
                <w:rFonts w:hint="eastAsia" w:ascii="仿宋" w:hAnsi="仿宋" w:eastAsia="仿宋" w:cs="仿宋"/>
                <w:color w:val="FF0000"/>
                <w:spacing w:val="-10"/>
                <w:kern w:val="0"/>
                <w:sz w:val="24"/>
                <w:lang w:eastAsia="zh-CN"/>
              </w:rPr>
              <w:t>基础教育</w:t>
            </w:r>
            <w:r>
              <w:rPr>
                <w:rFonts w:hint="eastAsia" w:ascii="仿宋" w:hAnsi="仿宋" w:eastAsia="仿宋" w:cs="仿宋"/>
                <w:color w:val="FF0000"/>
                <w:spacing w:val="-10"/>
                <w:kern w:val="0"/>
                <w:sz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申请主体</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有《民办学校办学许可证》资格的民办非学历教育培训机构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申请条件</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40" w:firstLineChars="200"/>
              <w:jc w:val="left"/>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由教体局随机组织人员对民办非学历教育机构办学水平进行督导评估。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数量限制</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9"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法律依据</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【法律】《中华人民共和国民办教育促进法》（2013年修改）</w:t>
            </w:r>
          </w:p>
          <w:p>
            <w:pPr>
              <w:widowControl/>
              <w:adjustRightInd w:val="0"/>
              <w:snapToGrid w:val="0"/>
              <w:spacing w:line="360" w:lineRule="atLeast"/>
              <w:ind w:firstLine="480" w:firstLineChars="200"/>
              <w:jc w:val="left"/>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第四十条 教育行政部门及有关部门依法对民办学校实行督导，促进提高办学质量；组织或者委托社会中介组织评估办学水平和教育质量，并将评估结果向社会公布。</w:t>
            </w:r>
          </w:p>
          <w:p>
            <w:pPr>
              <w:widowControl/>
              <w:adjustRightInd w:val="0"/>
              <w:snapToGrid w:val="0"/>
              <w:spacing w:line="360" w:lineRule="atLeast"/>
              <w:ind w:firstLine="480" w:firstLineChars="200"/>
              <w:jc w:val="left"/>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【行政法规】《中华人民共和国民办教育促进法实施条例》（2004年国务院第399号令）</w:t>
            </w:r>
          </w:p>
          <w:p>
            <w:pPr>
              <w:widowControl/>
              <w:adjustRightInd w:val="0"/>
              <w:snapToGrid w:val="0"/>
              <w:spacing w:line="360" w:lineRule="atLeast"/>
              <w:ind w:firstLine="480" w:firstLineChars="200"/>
              <w:jc w:val="left"/>
              <w:rPr>
                <w:rFonts w:hint="eastAsia" w:ascii="仿宋" w:hAnsi="仿宋" w:eastAsia="仿宋" w:cs="仿宋"/>
                <w:color w:val="FF0000"/>
                <w:sz w:val="24"/>
              </w:rPr>
            </w:pPr>
            <w:r>
              <w:rPr>
                <w:rFonts w:hint="eastAsia" w:ascii="仿宋" w:hAnsi="仿宋" w:eastAsia="仿宋" w:cs="仿宋"/>
                <w:color w:val="FF0000"/>
                <w:kern w:val="0"/>
                <w:sz w:val="24"/>
                <w:lang w:eastAsia="zh-CN"/>
              </w:rPr>
              <w:t>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教育行政部门、劳动和社会保障行政部门对民办学校进行监督时，应当将监督的情况和处理结果予以记录，由监督人员签字后归档。公众有权查阅教育行政部门、劳动和社会保障行政部门的监督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5"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申报材料</w:t>
            </w:r>
          </w:p>
        </w:tc>
        <w:tc>
          <w:tcPr>
            <w:tcW w:w="695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tLeast"/>
              <w:jc w:val="left"/>
              <w:rPr>
                <w:rFonts w:hint="eastAsia" w:ascii="仿宋" w:hAnsi="仿宋" w:eastAsia="仿宋" w:cs="仿宋"/>
                <w:color w:val="FF0000"/>
                <w:kern w:val="0"/>
                <w:sz w:val="24"/>
                <w:lang w:val="en-US" w:eastAsia="zh-CN"/>
              </w:rPr>
            </w:pPr>
            <w:r>
              <w:rPr>
                <w:rFonts w:hint="eastAsia" w:ascii="仿宋" w:hAnsi="仿宋" w:eastAsia="仿宋" w:cs="仿宋"/>
                <w:color w:val="FF0000"/>
                <w:kern w:val="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服务表格</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w:t>
            </w:r>
            <w:r>
              <w:rPr>
                <w:rFonts w:hint="eastAsia" w:ascii="仿宋" w:hAnsi="仿宋" w:eastAsia="仿宋" w:cs="仿宋"/>
                <w:color w:val="FF0000"/>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color w:val="000000"/>
                <w:kern w:val="0"/>
                <w:sz w:val="24"/>
              </w:rPr>
              <w:t>收费依据和标准</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法定期限</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w:t>
            </w:r>
            <w:r>
              <w:rPr>
                <w:rFonts w:hint="eastAsia" w:ascii="仿宋" w:hAnsi="仿宋" w:eastAsia="仿宋" w:cs="仿宋"/>
                <w:color w:val="FF0000"/>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承诺期限</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w:t>
            </w:r>
            <w:r>
              <w:rPr>
                <w:rFonts w:hint="eastAsia" w:ascii="仿宋" w:hAnsi="仿宋" w:eastAsia="仿宋" w:cs="仿宋"/>
                <w:color w:val="FF0000"/>
                <w:kern w:val="0"/>
                <w:sz w:val="24"/>
                <w:lang w:val="en-US" w:eastAsia="zh-CN"/>
              </w:rPr>
              <w:t xml:space="preserve"> </w:t>
            </w:r>
            <w:r>
              <w:rPr>
                <w:rFonts w:hint="eastAsia" w:ascii="仿宋" w:hAnsi="仿宋" w:eastAsia="仿宋" w:cs="仿宋"/>
                <w:color w:val="FF0000"/>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特殊环节</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年审或</w:t>
            </w:r>
          </w:p>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年检</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事项公示</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宁夏政务服务网、大武口区政府网、大武口区教育体育局网站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办理地点</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firstLine="480" w:firstLineChars="200"/>
              <w:jc w:val="left"/>
              <w:rPr>
                <w:rFonts w:hint="eastAsia" w:ascii="仿宋" w:hAnsi="仿宋" w:eastAsia="仿宋" w:cs="仿宋"/>
                <w:color w:val="FF0000"/>
                <w:sz w:val="24"/>
                <w:lang w:eastAsia="zh-Hans"/>
              </w:rPr>
            </w:pPr>
            <w:r>
              <w:rPr>
                <w:rFonts w:hint="eastAsia" w:ascii="仿宋" w:hAnsi="仿宋" w:eastAsia="仿宋" w:cs="仿宋"/>
                <w:color w:val="FF0000"/>
                <w:sz w:val="24"/>
              </w:rPr>
              <w:t>大武口区</w:t>
            </w:r>
            <w:r>
              <w:rPr>
                <w:rFonts w:hint="eastAsia" w:ascii="仿宋" w:hAnsi="仿宋" w:eastAsia="仿宋" w:cs="仿宋"/>
                <w:color w:val="FF0000"/>
                <w:kern w:val="0"/>
                <w:sz w:val="24"/>
              </w:rPr>
              <w:t>政务服务大厅教育体育局</w:t>
            </w:r>
            <w:r>
              <w:rPr>
                <w:rFonts w:hint="eastAsia" w:ascii="仿宋" w:hAnsi="仿宋" w:eastAsia="仿宋" w:cs="仿宋"/>
                <w:color w:val="FF0000"/>
                <w:sz w:val="24"/>
                <w:lang w:eastAsia="zh-Hans"/>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联系电话</w:t>
            </w:r>
          </w:p>
        </w:tc>
        <w:tc>
          <w:tcPr>
            <w:tcW w:w="69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FF0000"/>
                <w:sz w:val="24"/>
                <w:lang w:eastAsia="zh-Hans"/>
              </w:rPr>
            </w:pPr>
            <w:r>
              <w:rPr>
                <w:rFonts w:hint="eastAsia" w:ascii="仿宋" w:hAnsi="仿宋" w:eastAsia="仿宋" w:cs="仿宋"/>
                <w:color w:val="FF0000"/>
                <w:sz w:val="24"/>
              </w:rPr>
              <w:t xml:space="preserve">    </w:t>
            </w:r>
            <w:r>
              <w:rPr>
                <w:rFonts w:hint="eastAsia" w:ascii="仿宋" w:hAnsi="仿宋" w:eastAsia="仿宋" w:cs="仿宋"/>
                <w:color w:val="FF0000"/>
                <w:sz w:val="24"/>
                <w:lang w:eastAsia="zh-Hans"/>
              </w:rPr>
              <w:t>095</w:t>
            </w:r>
            <w:r>
              <w:rPr>
                <w:rFonts w:hint="eastAsia" w:ascii="仿宋" w:hAnsi="仿宋" w:eastAsia="仿宋" w:cs="仿宋"/>
                <w:color w:val="FF0000"/>
                <w:sz w:val="24"/>
              </w:rPr>
              <w:t>2</w:t>
            </w:r>
            <w:r>
              <w:rPr>
                <w:rFonts w:hint="eastAsia" w:ascii="仿宋" w:hAnsi="仿宋" w:eastAsia="仿宋" w:cs="仿宋"/>
                <w:color w:val="FF0000"/>
                <w:sz w:val="24"/>
                <w:lang w:eastAsia="zh-Hans"/>
              </w:rPr>
              <w:t>-</w:t>
            </w:r>
            <w:r>
              <w:rPr>
                <w:rFonts w:hint="eastAsia" w:ascii="仿宋" w:hAnsi="仿宋" w:eastAsia="仿宋" w:cs="仿宋"/>
                <w:color w:val="FF0000"/>
                <w:sz w:val="24"/>
              </w:rPr>
              <w:t>2688696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监督电话</w:t>
            </w:r>
          </w:p>
        </w:tc>
        <w:tc>
          <w:tcPr>
            <w:tcW w:w="69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0952-2688608、2012076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办理查询</w:t>
            </w:r>
          </w:p>
        </w:tc>
        <w:tc>
          <w:tcPr>
            <w:tcW w:w="69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ind w:firstLine="480" w:firstLineChars="200"/>
              <w:rPr>
                <w:rFonts w:hint="eastAsia" w:ascii="仿宋" w:hAnsi="仿宋" w:eastAsia="仿宋" w:cs="仿宋"/>
                <w:color w:val="FF0000"/>
                <w:kern w:val="0"/>
                <w:sz w:val="24"/>
              </w:rPr>
            </w:pPr>
            <w:r>
              <w:rPr>
                <w:rFonts w:hint="eastAsia" w:ascii="仿宋" w:hAnsi="仿宋" w:eastAsia="仿宋" w:cs="仿宋"/>
                <w:color w:val="FF0000"/>
                <w:kern w:val="0"/>
                <w:sz w:val="24"/>
              </w:rPr>
              <w:t>申请人可通过宁夏政务服务网、大武口区政务服务大厅窗口电话、政务服务微信平台、大武口区政务服务大厅窗口等方式查询政务服务事项的办理进程。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4"/>
              </w:rPr>
            </w:pPr>
            <w:r>
              <w:rPr>
                <w:rFonts w:hint="eastAsia" w:ascii="黑体" w:hAnsi="黑体" w:eastAsia="黑体" w:cs="黑体"/>
                <w:kern w:val="0"/>
                <w:sz w:val="24"/>
              </w:rPr>
              <w:t>在线办理链接</w:t>
            </w:r>
          </w:p>
        </w:tc>
        <w:tc>
          <w:tcPr>
            <w:tcW w:w="69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ind w:firstLine="480" w:firstLineChars="200"/>
              <w:rPr>
                <w:rFonts w:hint="eastAsia" w:ascii="仿宋" w:hAnsi="仿宋" w:eastAsia="仿宋" w:cs="仿宋_GB2312"/>
                <w:color w:val="FF0000"/>
                <w:kern w:val="0"/>
                <w:sz w:val="24"/>
              </w:rPr>
            </w:pPr>
          </w:p>
        </w:tc>
      </w:tr>
    </w:tbl>
    <w:p/>
    <w:p/>
    <w:p/>
    <w:p/>
    <w:p/>
    <w:p/>
    <w:p/>
    <w:p/>
    <w:p>
      <w:pPr>
        <w:autoSpaceDE w:val="0"/>
        <w:autoSpaceDN w:val="0"/>
        <w:adjustRightInd w:val="0"/>
        <w:snapToGrid w:val="0"/>
        <w:spacing w:line="240" w:lineRule="atLeast"/>
        <w:jc w:val="both"/>
        <w:rPr>
          <w:rFonts w:hint="eastAsia" w:ascii="方正小标宋简体" w:hAnsi="宋体" w:eastAsia="方正小标宋简体" w:cs="宋体"/>
          <w:kern w:val="0"/>
          <w:sz w:val="44"/>
          <w:szCs w:val="44"/>
        </w:rPr>
      </w:pPr>
      <w:r>
        <w:rPr>
          <w:rFonts w:hint="eastAsia" w:ascii="方正小标宋简体" w:hAnsi="宋体" w:eastAsia="方正小标宋简体" w:cs="宋体"/>
          <w:color w:val="FF0000"/>
          <w:kern w:val="0"/>
          <w:sz w:val="44"/>
          <w:szCs w:val="44"/>
          <w:lang w:val="en-US" w:eastAsia="zh-CN"/>
        </w:rPr>
        <w:t xml:space="preserve"> </w:t>
      </w:r>
      <w:r>
        <w:rPr>
          <w:rFonts w:hint="eastAsia" w:ascii="方正小标宋简体" w:hAnsi="宋体" w:eastAsia="方正小标宋简体" w:cs="宋体"/>
          <w:kern w:val="0"/>
          <w:sz w:val="44"/>
          <w:szCs w:val="44"/>
          <w:lang w:eastAsia="zh-CN"/>
        </w:rPr>
        <w:t>民办非学历教育机构办学水平</w:t>
      </w:r>
      <w:r>
        <w:rPr>
          <w:rFonts w:hint="eastAsia" w:ascii="方正小标宋简体" w:hAnsi="宋体" w:eastAsia="方正小标宋简体" w:cs="宋体"/>
          <w:kern w:val="0"/>
          <w:sz w:val="44"/>
          <w:szCs w:val="44"/>
        </w:rPr>
        <w:t>办理流程</w:t>
      </w:r>
    </w:p>
    <w:tbl>
      <w:tblPr>
        <w:tblStyle w:val="4"/>
        <w:tblpPr w:leftFromText="180" w:rightFromText="180" w:vertAnchor="text" w:horzAnchor="page" w:tblpX="1650" w:tblpY="99"/>
        <w:tblOverlap w:val="never"/>
        <w:tblW w:w="8620" w:type="dxa"/>
        <w:tblInd w:w="0" w:type="dxa"/>
        <w:tblLayout w:type="fixed"/>
        <w:tblCellMar>
          <w:top w:w="0" w:type="dxa"/>
          <w:left w:w="14" w:type="dxa"/>
          <w:bottom w:w="0" w:type="dxa"/>
          <w:right w:w="14" w:type="dxa"/>
        </w:tblCellMar>
      </w:tblPr>
      <w:tblGrid>
        <w:gridCol w:w="1079"/>
        <w:gridCol w:w="1494"/>
        <w:gridCol w:w="4278"/>
        <w:gridCol w:w="1769"/>
      </w:tblGrid>
      <w:tr>
        <w:tblPrEx>
          <w:tblLayout w:type="fixed"/>
          <w:tblCellMar>
            <w:top w:w="0" w:type="dxa"/>
            <w:left w:w="14" w:type="dxa"/>
            <w:bottom w:w="0" w:type="dxa"/>
            <w:right w:w="14" w:type="dxa"/>
          </w:tblCellMar>
        </w:tblPrEx>
        <w:trPr>
          <w:trHeight w:val="1148" w:hRule="atLeast"/>
        </w:trPr>
        <w:tc>
          <w:tcPr>
            <w:tcW w:w="1079" w:type="dxa"/>
            <w:tcBorders>
              <w:top w:val="single" w:color="000000" w:sz="2" w:space="0"/>
              <w:left w:val="single" w:color="000000" w:sz="2"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程  序</w:t>
            </w:r>
          </w:p>
        </w:tc>
        <w:tc>
          <w:tcPr>
            <w:tcW w:w="1494" w:type="dxa"/>
            <w:tcBorders>
              <w:top w:val="single" w:color="000000" w:sz="2"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责任单位</w:t>
            </w:r>
          </w:p>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及责任人</w:t>
            </w:r>
          </w:p>
        </w:tc>
        <w:tc>
          <w:tcPr>
            <w:tcW w:w="4278" w:type="dxa"/>
            <w:tcBorders>
              <w:top w:val="single" w:color="000000" w:sz="2"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工作内容</w:t>
            </w:r>
          </w:p>
        </w:tc>
        <w:tc>
          <w:tcPr>
            <w:tcW w:w="1769"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办结时限</w:t>
            </w:r>
          </w:p>
        </w:tc>
      </w:tr>
      <w:tr>
        <w:tblPrEx>
          <w:tblLayout w:type="fixed"/>
          <w:tblCellMar>
            <w:top w:w="0" w:type="dxa"/>
            <w:left w:w="14" w:type="dxa"/>
            <w:bottom w:w="0" w:type="dxa"/>
            <w:right w:w="14" w:type="dxa"/>
          </w:tblCellMar>
        </w:tblPrEx>
        <w:trPr>
          <w:trHeight w:val="2843" w:hRule="atLeast"/>
        </w:trPr>
        <w:tc>
          <w:tcPr>
            <w:tcW w:w="1079" w:type="dxa"/>
            <w:tcBorders>
              <w:top w:val="single" w:color="auto" w:sz="4" w:space="0"/>
              <w:left w:val="single" w:color="000000" w:sz="2"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受  理</w:t>
            </w:r>
          </w:p>
        </w:tc>
        <w:tc>
          <w:tcPr>
            <w:tcW w:w="1494" w:type="dxa"/>
            <w:tcBorders>
              <w:top w:val="single" w:color="auto" w:sz="4" w:space="0"/>
              <w:left w:val="single" w:color="auto" w:sz="4" w:space="0"/>
              <w:bottom w:val="single" w:color="000000" w:sz="2" w:space="0"/>
              <w:right w:val="single" w:color="auto" w:sz="4" w:space="0"/>
            </w:tcBorders>
            <w:vAlign w:val="center"/>
          </w:tcPr>
          <w:p>
            <w:pPr>
              <w:adjustRightInd w:val="0"/>
              <w:snapToGrid w:val="0"/>
              <w:spacing w:line="280" w:lineRule="atLeast"/>
              <w:jc w:val="center"/>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无</w:t>
            </w:r>
          </w:p>
        </w:tc>
        <w:tc>
          <w:tcPr>
            <w:tcW w:w="4278" w:type="dxa"/>
            <w:tcBorders>
              <w:top w:val="single" w:color="auto" w:sz="4" w:space="0"/>
              <w:left w:val="single" w:color="auto" w:sz="4" w:space="0"/>
              <w:bottom w:val="single" w:color="000000" w:sz="2" w:space="0"/>
              <w:right w:val="single" w:color="auto" w:sz="4" w:space="0"/>
            </w:tcBorders>
            <w:vAlign w:val="center"/>
          </w:tcPr>
          <w:p>
            <w:pPr>
              <w:adjustRightInd w:val="0"/>
              <w:snapToGrid w:val="0"/>
              <w:spacing w:line="280" w:lineRule="atLeast"/>
              <w:jc w:val="center"/>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无</w:t>
            </w:r>
          </w:p>
        </w:tc>
        <w:tc>
          <w:tcPr>
            <w:tcW w:w="1769"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snapToGrid w:val="0"/>
              <w:spacing w:line="400" w:lineRule="atLeast"/>
              <w:jc w:val="center"/>
              <w:rPr>
                <w:rFonts w:hint="eastAsia" w:ascii="仿宋" w:hAnsi="仿宋" w:eastAsia="仿宋" w:cs="仿宋"/>
                <w:color w:val="FF0000"/>
                <w:kern w:val="0"/>
                <w:sz w:val="24"/>
                <w:lang w:val="zh-CN"/>
              </w:rPr>
            </w:pPr>
            <w:r>
              <w:rPr>
                <w:rFonts w:hint="eastAsia" w:ascii="仿宋" w:hAnsi="仿宋" w:eastAsia="仿宋" w:cs="仿宋"/>
                <w:color w:val="FF0000"/>
                <w:kern w:val="0"/>
                <w:sz w:val="24"/>
                <w:lang w:val="zh-CN"/>
              </w:rPr>
              <w:t>无</w:t>
            </w:r>
          </w:p>
        </w:tc>
      </w:tr>
      <w:tr>
        <w:tblPrEx>
          <w:tblLayout w:type="fixed"/>
          <w:tblCellMar>
            <w:top w:w="0" w:type="dxa"/>
            <w:left w:w="14" w:type="dxa"/>
            <w:bottom w:w="0" w:type="dxa"/>
            <w:right w:w="14" w:type="dxa"/>
          </w:tblCellMar>
        </w:tblPrEx>
        <w:trPr>
          <w:trHeight w:val="1461" w:hRule="atLeast"/>
        </w:trPr>
        <w:tc>
          <w:tcPr>
            <w:tcW w:w="1079" w:type="dxa"/>
            <w:vMerge w:val="restart"/>
            <w:tcBorders>
              <w:top w:val="single" w:color="auto" w:sz="4" w:space="0"/>
              <w:left w:val="single" w:color="000000" w:sz="2"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审  查</w:t>
            </w:r>
          </w:p>
        </w:tc>
        <w:tc>
          <w:tcPr>
            <w:tcW w:w="1494" w:type="dxa"/>
            <w:tcBorders>
              <w:top w:val="single" w:color="000000" w:sz="2" w:space="0"/>
              <w:left w:val="single" w:color="auto" w:sz="4" w:space="0"/>
              <w:bottom w:val="single" w:color="auto" w:sz="4" w:space="0"/>
              <w:right w:val="single" w:color="auto" w:sz="4" w:space="0"/>
            </w:tcBorders>
            <w:vAlign w:val="center"/>
          </w:tcPr>
          <w:p>
            <w:pPr>
              <w:adjustRightInd w:val="0"/>
              <w:snapToGrid w:val="0"/>
              <w:spacing w:line="280" w:lineRule="atLeast"/>
              <w:jc w:val="center"/>
              <w:rPr>
                <w:rFonts w:hint="eastAsia" w:ascii="仿宋" w:hAnsi="仿宋" w:eastAsia="仿宋" w:cs="仿宋"/>
                <w:color w:val="FF0000"/>
                <w:sz w:val="24"/>
                <w:lang w:eastAsia="zh-CN"/>
              </w:rPr>
            </w:pPr>
            <w:r>
              <w:rPr>
                <w:rFonts w:hint="eastAsia" w:ascii="仿宋" w:hAnsi="仿宋" w:eastAsia="仿宋" w:cs="仿宋"/>
                <w:color w:val="FF0000"/>
                <w:sz w:val="24"/>
                <w:lang w:eastAsia="zh-CN"/>
              </w:rPr>
              <w:t>无</w:t>
            </w:r>
          </w:p>
        </w:tc>
        <w:tc>
          <w:tcPr>
            <w:tcW w:w="4278" w:type="dxa"/>
            <w:tcBorders>
              <w:top w:val="single" w:color="000000" w:sz="2" w:space="0"/>
              <w:left w:val="single" w:color="auto" w:sz="4" w:space="0"/>
              <w:bottom w:val="single" w:color="auto" w:sz="4" w:space="0"/>
              <w:right w:val="single" w:color="auto" w:sz="4" w:space="0"/>
            </w:tcBorders>
            <w:vAlign w:val="center"/>
          </w:tcPr>
          <w:p>
            <w:pPr>
              <w:spacing w:line="360" w:lineRule="exact"/>
              <w:ind w:firstLine="480" w:firstLineChars="200"/>
              <w:jc w:val="left"/>
              <w:rPr>
                <w:rFonts w:hint="eastAsia" w:ascii="仿宋" w:hAnsi="仿宋" w:eastAsia="仿宋" w:cs="仿宋"/>
                <w:color w:val="FF0000"/>
                <w:sz w:val="24"/>
                <w:lang w:val="en-US" w:eastAsia="zh-CN"/>
              </w:rPr>
            </w:pPr>
            <w:r>
              <w:rPr>
                <w:rFonts w:hint="eastAsia" w:ascii="仿宋" w:hAnsi="仿宋" w:eastAsia="仿宋" w:cs="仿宋"/>
                <w:color w:val="FF0000"/>
                <w:sz w:val="24"/>
                <w:lang w:val="en-US" w:eastAsia="zh-CN"/>
              </w:rPr>
              <w:t xml:space="preserve">             无</w:t>
            </w:r>
          </w:p>
        </w:tc>
        <w:tc>
          <w:tcPr>
            <w:tcW w:w="1769"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snapToGrid w:val="0"/>
              <w:spacing w:line="400" w:lineRule="atLeast"/>
              <w:jc w:val="left"/>
              <w:rPr>
                <w:rFonts w:hint="eastAsia" w:ascii="仿宋" w:hAnsi="仿宋" w:eastAsia="仿宋" w:cs="仿宋"/>
                <w:color w:val="FF0000"/>
                <w:kern w:val="0"/>
                <w:sz w:val="24"/>
                <w:lang w:val="en-US" w:eastAsia="zh-CN"/>
              </w:rPr>
            </w:pPr>
            <w:r>
              <w:rPr>
                <w:rFonts w:hint="eastAsia" w:ascii="仿宋" w:hAnsi="仿宋" w:eastAsia="仿宋" w:cs="仿宋"/>
                <w:color w:val="FF0000"/>
                <w:kern w:val="0"/>
                <w:sz w:val="24"/>
                <w:lang w:val="en-US" w:eastAsia="zh-CN"/>
              </w:rPr>
              <w:t xml:space="preserve">       无</w:t>
            </w:r>
          </w:p>
        </w:tc>
      </w:tr>
      <w:tr>
        <w:tblPrEx>
          <w:tblLayout w:type="fixed"/>
          <w:tblCellMar>
            <w:top w:w="0" w:type="dxa"/>
            <w:left w:w="14" w:type="dxa"/>
            <w:bottom w:w="0" w:type="dxa"/>
            <w:right w:w="14" w:type="dxa"/>
          </w:tblCellMar>
        </w:tblPrEx>
        <w:trPr>
          <w:trHeight w:val="1574" w:hRule="atLeast"/>
        </w:trPr>
        <w:tc>
          <w:tcPr>
            <w:tcW w:w="1079" w:type="dxa"/>
            <w:vMerge w:val="continue"/>
            <w:tcBorders>
              <w:top w:val="single" w:color="auto" w:sz="4" w:space="0"/>
              <w:left w:val="single" w:color="000000" w:sz="2" w:space="0"/>
              <w:bottom w:val="single" w:color="000000" w:sz="2"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p>
        </w:tc>
        <w:tc>
          <w:tcPr>
            <w:tcW w:w="1494" w:type="dxa"/>
            <w:tcBorders>
              <w:top w:val="single" w:color="auto" w:sz="4" w:space="0"/>
              <w:left w:val="single" w:color="auto" w:sz="4" w:space="0"/>
              <w:bottom w:val="single" w:color="000000" w:sz="2" w:space="0"/>
              <w:right w:val="single" w:color="auto" w:sz="4" w:space="0"/>
            </w:tcBorders>
            <w:vAlign w:val="center"/>
          </w:tcPr>
          <w:p>
            <w:pPr>
              <w:spacing w:line="360" w:lineRule="exact"/>
              <w:jc w:val="center"/>
              <w:rPr>
                <w:rFonts w:hint="eastAsia" w:ascii="仿宋" w:hAnsi="仿宋" w:eastAsia="仿宋" w:cs="仿宋"/>
                <w:color w:val="FF0000"/>
                <w:sz w:val="24"/>
                <w:lang w:eastAsia="zh-CN"/>
              </w:rPr>
            </w:pPr>
            <w:r>
              <w:rPr>
                <w:rFonts w:hint="eastAsia" w:ascii="仿宋" w:hAnsi="仿宋" w:eastAsia="仿宋" w:cs="仿宋"/>
                <w:color w:val="FF0000"/>
                <w:sz w:val="24"/>
                <w:lang w:eastAsia="zh-CN"/>
              </w:rPr>
              <w:t>无</w:t>
            </w:r>
          </w:p>
        </w:tc>
        <w:tc>
          <w:tcPr>
            <w:tcW w:w="427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both"/>
              <w:rPr>
                <w:rFonts w:hint="eastAsia" w:ascii="仿宋" w:hAnsi="仿宋" w:eastAsia="仿宋" w:cs="仿宋"/>
                <w:color w:val="FF0000"/>
                <w:sz w:val="24"/>
                <w:lang w:eastAsia="zh-CN"/>
              </w:rPr>
            </w:pPr>
            <w:r>
              <w:rPr>
                <w:rFonts w:hint="eastAsia" w:ascii="仿宋" w:hAnsi="仿宋" w:eastAsia="仿宋" w:cs="仿宋"/>
                <w:color w:val="FF0000"/>
                <w:sz w:val="24"/>
                <w:lang w:val="en-US" w:eastAsia="zh-CN"/>
              </w:rPr>
              <w:t xml:space="preserve">            </w:t>
            </w:r>
            <w:r>
              <w:rPr>
                <w:rFonts w:hint="eastAsia" w:ascii="仿宋" w:hAnsi="仿宋" w:eastAsia="仿宋" w:cs="仿宋"/>
                <w:color w:val="FF0000"/>
                <w:sz w:val="24"/>
                <w:lang w:eastAsia="zh-CN"/>
              </w:rPr>
              <w:t>无</w:t>
            </w:r>
          </w:p>
        </w:tc>
        <w:tc>
          <w:tcPr>
            <w:tcW w:w="1769" w:type="dxa"/>
            <w:tcBorders>
              <w:top w:val="single" w:color="auto" w:sz="4" w:space="0"/>
              <w:left w:val="single" w:color="auto" w:sz="4" w:space="0"/>
              <w:bottom w:val="single" w:color="auto" w:sz="4" w:space="0"/>
              <w:right w:val="single" w:color="000000" w:sz="2" w:space="0"/>
            </w:tcBorders>
            <w:vAlign w:val="center"/>
          </w:tcPr>
          <w:p>
            <w:pPr>
              <w:autoSpaceDE w:val="0"/>
              <w:autoSpaceDN w:val="0"/>
              <w:adjustRightInd w:val="0"/>
              <w:snapToGrid w:val="0"/>
              <w:spacing w:line="400" w:lineRule="atLeast"/>
              <w:jc w:val="center"/>
              <w:rPr>
                <w:rFonts w:hint="eastAsia" w:ascii="仿宋" w:hAnsi="仿宋" w:eastAsia="仿宋" w:cs="仿宋"/>
                <w:color w:val="FF0000"/>
                <w:kern w:val="0"/>
                <w:sz w:val="24"/>
                <w:lang w:val="zh-CN"/>
              </w:rPr>
            </w:pPr>
            <w:r>
              <w:rPr>
                <w:rFonts w:hint="eastAsia" w:ascii="仿宋" w:hAnsi="仿宋" w:eastAsia="仿宋" w:cs="仿宋"/>
                <w:color w:val="FF0000"/>
                <w:kern w:val="0"/>
                <w:sz w:val="24"/>
                <w:lang w:val="zh-CN"/>
              </w:rPr>
              <w:t>无</w:t>
            </w:r>
          </w:p>
        </w:tc>
      </w:tr>
      <w:tr>
        <w:tblPrEx>
          <w:tblLayout w:type="fixed"/>
          <w:tblCellMar>
            <w:top w:w="0" w:type="dxa"/>
            <w:left w:w="14" w:type="dxa"/>
            <w:bottom w:w="0" w:type="dxa"/>
            <w:right w:w="14" w:type="dxa"/>
          </w:tblCellMar>
        </w:tblPrEx>
        <w:trPr>
          <w:trHeight w:val="1631" w:hRule="atLeast"/>
        </w:trPr>
        <w:tc>
          <w:tcPr>
            <w:tcW w:w="10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决  定</w:t>
            </w:r>
          </w:p>
        </w:tc>
        <w:tc>
          <w:tcPr>
            <w:tcW w:w="1494" w:type="dxa"/>
            <w:tcBorders>
              <w:top w:val="single" w:color="000000" w:sz="2" w:space="0"/>
              <w:left w:val="single" w:color="000000" w:sz="2" w:space="0"/>
              <w:bottom w:val="single" w:color="000000" w:sz="2" w:space="0"/>
              <w:right w:val="single" w:color="auto" w:sz="4" w:space="0"/>
            </w:tcBorders>
            <w:vAlign w:val="center"/>
          </w:tcPr>
          <w:p>
            <w:pPr>
              <w:adjustRightInd w:val="0"/>
              <w:snapToGrid w:val="0"/>
              <w:spacing w:line="280" w:lineRule="atLeast"/>
              <w:jc w:val="center"/>
              <w:rPr>
                <w:rFonts w:hint="eastAsia" w:ascii="仿宋" w:hAnsi="仿宋" w:eastAsia="仿宋" w:cs="仿宋"/>
                <w:color w:val="FF0000"/>
                <w:kern w:val="0"/>
                <w:sz w:val="24"/>
                <w:lang w:val="zh-CN"/>
              </w:rPr>
            </w:pPr>
            <w:r>
              <w:rPr>
                <w:rFonts w:hint="eastAsia" w:ascii="仿宋" w:hAnsi="仿宋" w:eastAsia="仿宋" w:cs="仿宋"/>
                <w:color w:val="FF0000"/>
                <w:kern w:val="0"/>
                <w:sz w:val="24"/>
                <w:lang w:val="zh-CN"/>
              </w:rPr>
              <w:t>检查组</w:t>
            </w:r>
          </w:p>
        </w:tc>
        <w:tc>
          <w:tcPr>
            <w:tcW w:w="4278" w:type="dxa"/>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napToGrid w:val="0"/>
              <w:spacing w:line="400" w:lineRule="atLeast"/>
              <w:jc w:val="left"/>
              <w:rPr>
                <w:rFonts w:hint="eastAsia" w:ascii="仿宋" w:hAnsi="仿宋" w:eastAsia="仿宋" w:cs="仿宋"/>
                <w:color w:val="FF0000"/>
                <w:kern w:val="0"/>
                <w:sz w:val="24"/>
                <w:lang w:val="zh-CN"/>
              </w:rPr>
            </w:pPr>
            <w:r>
              <w:rPr>
                <w:rFonts w:hint="eastAsia" w:ascii="仿宋" w:hAnsi="仿宋" w:eastAsia="仿宋" w:cs="仿宋"/>
                <w:color w:val="FF0000"/>
                <w:kern w:val="0"/>
                <w:sz w:val="24"/>
                <w:lang w:val="en-US" w:eastAsia="zh-CN"/>
              </w:rPr>
              <w:t xml:space="preserve">              </w:t>
            </w:r>
            <w:r>
              <w:rPr>
                <w:rFonts w:hint="eastAsia" w:ascii="仿宋" w:hAnsi="仿宋" w:eastAsia="仿宋" w:cs="仿宋"/>
                <w:color w:val="FF0000"/>
                <w:kern w:val="0"/>
                <w:sz w:val="24"/>
                <w:lang w:val="zh-CN"/>
              </w:rPr>
              <w:t>督导评估</w:t>
            </w:r>
          </w:p>
        </w:tc>
        <w:tc>
          <w:tcPr>
            <w:tcW w:w="1769"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snapToGrid w:val="0"/>
              <w:spacing w:line="400" w:lineRule="atLeast"/>
              <w:jc w:val="left"/>
              <w:rPr>
                <w:rFonts w:hint="eastAsia" w:ascii="仿宋" w:hAnsi="仿宋" w:eastAsia="仿宋" w:cs="仿宋"/>
                <w:color w:val="FF0000"/>
                <w:kern w:val="0"/>
                <w:sz w:val="24"/>
                <w:lang w:val="en-US" w:eastAsia="zh-CN"/>
              </w:rPr>
            </w:pPr>
            <w:r>
              <w:rPr>
                <w:rFonts w:hint="eastAsia" w:ascii="仿宋" w:hAnsi="仿宋" w:eastAsia="仿宋" w:cs="仿宋"/>
                <w:color w:val="FF0000"/>
                <w:kern w:val="0"/>
                <w:sz w:val="24"/>
                <w:lang w:val="en-US" w:eastAsia="zh-CN"/>
              </w:rPr>
              <w:t xml:space="preserve">       无</w:t>
            </w:r>
          </w:p>
        </w:tc>
      </w:tr>
      <w:tr>
        <w:tblPrEx>
          <w:tblLayout w:type="fixed"/>
          <w:tblCellMar>
            <w:top w:w="0" w:type="dxa"/>
            <w:left w:w="14" w:type="dxa"/>
            <w:bottom w:w="0" w:type="dxa"/>
            <w:right w:w="14" w:type="dxa"/>
          </w:tblCellMar>
        </w:tblPrEx>
        <w:trPr>
          <w:trHeight w:val="1566" w:hRule="atLeast"/>
        </w:trPr>
        <w:tc>
          <w:tcPr>
            <w:tcW w:w="10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送  达</w:t>
            </w:r>
          </w:p>
        </w:tc>
        <w:tc>
          <w:tcPr>
            <w:tcW w:w="1494" w:type="dxa"/>
            <w:tcBorders>
              <w:top w:val="single" w:color="000000" w:sz="2" w:space="0"/>
              <w:left w:val="single" w:color="000000" w:sz="2" w:space="0"/>
              <w:bottom w:val="single" w:color="000000" w:sz="2" w:space="0"/>
              <w:right w:val="single" w:color="auto" w:sz="4" w:space="0"/>
            </w:tcBorders>
            <w:vAlign w:val="center"/>
          </w:tcPr>
          <w:p>
            <w:pPr>
              <w:adjustRightInd w:val="0"/>
              <w:snapToGrid w:val="0"/>
              <w:spacing w:line="280" w:lineRule="atLeast"/>
              <w:jc w:val="center"/>
              <w:rPr>
                <w:rFonts w:hint="eastAsia" w:ascii="仿宋" w:hAnsi="仿宋" w:eastAsia="仿宋" w:cs="仿宋"/>
                <w:color w:val="FF0000"/>
                <w:kern w:val="0"/>
                <w:sz w:val="24"/>
                <w:lang w:eastAsia="zh-CN"/>
              </w:rPr>
            </w:pPr>
            <w:r>
              <w:rPr>
                <w:rFonts w:hint="eastAsia" w:ascii="仿宋" w:hAnsi="仿宋" w:eastAsia="仿宋" w:cs="仿宋"/>
                <w:color w:val="FF0000"/>
                <w:kern w:val="0"/>
                <w:sz w:val="24"/>
                <w:lang w:eastAsia="zh-CN"/>
              </w:rPr>
              <w:t>检查组</w:t>
            </w:r>
          </w:p>
        </w:tc>
        <w:tc>
          <w:tcPr>
            <w:tcW w:w="4278" w:type="dxa"/>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napToGrid w:val="0"/>
              <w:spacing w:line="400" w:lineRule="atLeast"/>
              <w:ind w:firstLine="480"/>
              <w:jc w:val="left"/>
              <w:rPr>
                <w:rFonts w:hint="eastAsia" w:ascii="仿宋" w:hAnsi="仿宋" w:eastAsia="仿宋" w:cs="仿宋"/>
                <w:color w:val="FF0000"/>
                <w:kern w:val="0"/>
                <w:sz w:val="24"/>
                <w:lang w:val="zh-CN"/>
              </w:rPr>
            </w:pPr>
            <w:r>
              <w:rPr>
                <w:rFonts w:hint="eastAsia" w:ascii="仿宋" w:hAnsi="仿宋" w:eastAsia="仿宋" w:cs="仿宋"/>
                <w:color w:val="FF0000"/>
                <w:kern w:val="0"/>
                <w:sz w:val="24"/>
                <w:lang w:val="zh-CN"/>
              </w:rPr>
              <w:t>当场反馈，提出整改意见。</w:t>
            </w:r>
          </w:p>
        </w:tc>
        <w:tc>
          <w:tcPr>
            <w:tcW w:w="1769"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snapToGrid w:val="0"/>
              <w:spacing w:line="400" w:lineRule="atLeast"/>
              <w:jc w:val="left"/>
              <w:rPr>
                <w:rFonts w:hint="eastAsia" w:ascii="仿宋" w:hAnsi="仿宋" w:eastAsia="仿宋" w:cs="仿宋"/>
                <w:color w:val="FF0000"/>
                <w:kern w:val="0"/>
                <w:sz w:val="24"/>
                <w:lang w:val="en-US" w:eastAsia="zh-CN"/>
              </w:rPr>
            </w:pPr>
            <w:r>
              <w:rPr>
                <w:rFonts w:hint="eastAsia" w:ascii="仿宋" w:hAnsi="仿宋" w:eastAsia="仿宋" w:cs="仿宋"/>
                <w:color w:val="FF0000"/>
                <w:kern w:val="0"/>
                <w:sz w:val="24"/>
                <w:lang w:val="en-US" w:eastAsia="zh-CN"/>
              </w:rPr>
              <w:t xml:space="preserve">       无</w:t>
            </w:r>
            <w:bookmarkStart w:id="0" w:name="_GoBack"/>
            <w:bookmarkEnd w:id="0"/>
          </w:p>
        </w:tc>
      </w:tr>
      <w:tr>
        <w:tblPrEx>
          <w:tblLayout w:type="fixed"/>
          <w:tblCellMar>
            <w:top w:w="0" w:type="dxa"/>
            <w:left w:w="14" w:type="dxa"/>
            <w:bottom w:w="0" w:type="dxa"/>
            <w:right w:w="14" w:type="dxa"/>
          </w:tblCellMar>
        </w:tblPrEx>
        <w:trPr>
          <w:trHeight w:val="1571" w:hRule="atLeast"/>
        </w:trPr>
        <w:tc>
          <w:tcPr>
            <w:tcW w:w="10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kern w:val="0"/>
                <w:sz w:val="24"/>
                <w:lang w:val="zh-CN"/>
              </w:rPr>
              <w:t>备</w:t>
            </w:r>
            <w:r>
              <w:rPr>
                <w:rFonts w:hint="eastAsia" w:ascii="黑体" w:hAnsi="黑体" w:eastAsia="黑体" w:cs="黑体"/>
                <w:kern w:val="0"/>
                <w:sz w:val="24"/>
              </w:rPr>
              <w:t xml:space="preserve">  </w:t>
            </w:r>
            <w:r>
              <w:rPr>
                <w:rFonts w:hint="eastAsia" w:ascii="黑体" w:hAnsi="黑体" w:eastAsia="黑体" w:cs="黑体"/>
                <w:kern w:val="0"/>
                <w:sz w:val="24"/>
                <w:lang w:val="zh-CN"/>
              </w:rPr>
              <w:t>注</w:t>
            </w:r>
          </w:p>
        </w:tc>
        <w:tc>
          <w:tcPr>
            <w:tcW w:w="7541" w:type="dxa"/>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napToGrid w:val="0"/>
              <w:spacing w:line="400" w:lineRule="atLeas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1.依法需要听证、招标、拍卖、检查、检测、检疫、鉴定、公示和专家评审等，不计算在办理期限内。</w:t>
            </w:r>
          </w:p>
          <w:p>
            <w:pPr>
              <w:autoSpaceDE w:val="0"/>
              <w:autoSpaceDN w:val="0"/>
              <w:adjustRightInd w:val="0"/>
              <w:snapToGrid w:val="0"/>
              <w:spacing w:line="400" w:lineRule="atLeast"/>
              <w:rPr>
                <w:rFonts w:hint="eastAsia" w:ascii="仿宋" w:hAnsi="仿宋" w:eastAsia="仿宋" w:cs="仿宋"/>
                <w:color w:val="FF0000"/>
                <w:kern w:val="0"/>
                <w:sz w:val="24"/>
              </w:rPr>
            </w:pPr>
            <w:r>
              <w:rPr>
                <w:rFonts w:hint="eastAsia" w:ascii="仿宋" w:hAnsi="仿宋" w:eastAsia="仿宋" w:cs="仿宋"/>
                <w:color w:val="FF0000"/>
                <w:kern w:val="0"/>
                <w:sz w:val="24"/>
              </w:rPr>
              <w:t xml:space="preserve">    2.受理和送达环节不计算在办理期限内。</w:t>
            </w:r>
          </w:p>
          <w:p>
            <w:pPr>
              <w:autoSpaceDE w:val="0"/>
              <w:autoSpaceDN w:val="0"/>
              <w:adjustRightInd w:val="0"/>
              <w:snapToGrid w:val="0"/>
              <w:spacing w:line="400" w:lineRule="atLeast"/>
              <w:jc w:val="left"/>
              <w:rPr>
                <w:rFonts w:hint="eastAsia" w:ascii="仿宋" w:hAnsi="仿宋" w:eastAsia="仿宋" w:cs="仿宋"/>
                <w:color w:val="FF0000"/>
                <w:kern w:val="0"/>
                <w:sz w:val="24"/>
                <w:lang w:val="zh-CN"/>
              </w:rPr>
            </w:pPr>
            <w:r>
              <w:rPr>
                <w:rFonts w:hint="eastAsia" w:ascii="仿宋" w:hAnsi="仿宋" w:eastAsia="仿宋" w:cs="仿宋"/>
                <w:color w:val="FF0000"/>
                <w:kern w:val="0"/>
                <w:sz w:val="24"/>
              </w:rPr>
              <w:t xml:space="preserve">    3.</w:t>
            </w:r>
            <w:r>
              <w:rPr>
                <w:rFonts w:hint="eastAsia" w:ascii="仿宋" w:hAnsi="仿宋" w:eastAsia="仿宋" w:cs="仿宋"/>
                <w:color w:val="FF0000"/>
                <w:kern w:val="0"/>
                <w:sz w:val="24"/>
                <w:lang w:val="zh-CN"/>
              </w:rPr>
              <w:t>法定办理期限为</w:t>
            </w:r>
            <w:r>
              <w:rPr>
                <w:rFonts w:hint="eastAsia" w:ascii="仿宋" w:hAnsi="仿宋" w:eastAsia="仿宋" w:cs="仿宋"/>
                <w:color w:val="FF0000"/>
                <w:kern w:val="0"/>
                <w:sz w:val="24"/>
              </w:rPr>
              <w:t>3个月</w:t>
            </w:r>
            <w:r>
              <w:rPr>
                <w:rFonts w:hint="eastAsia" w:ascii="仿宋" w:hAnsi="仿宋" w:eastAsia="仿宋" w:cs="仿宋"/>
                <w:color w:val="FF0000"/>
                <w:kern w:val="0"/>
                <w:sz w:val="24"/>
                <w:lang w:val="zh-CN"/>
              </w:rPr>
              <w:t>，承诺办理期限为</w:t>
            </w:r>
            <w:r>
              <w:rPr>
                <w:rFonts w:hint="eastAsia" w:ascii="仿宋" w:hAnsi="仿宋" w:eastAsia="仿宋" w:cs="仿宋"/>
                <w:color w:val="FF0000"/>
                <w:kern w:val="0"/>
                <w:sz w:val="24"/>
              </w:rPr>
              <w:t>15</w:t>
            </w:r>
            <w:r>
              <w:rPr>
                <w:rFonts w:hint="eastAsia" w:ascii="仿宋" w:hAnsi="仿宋" w:eastAsia="仿宋" w:cs="仿宋"/>
                <w:color w:val="FF0000"/>
                <w:kern w:val="0"/>
                <w:sz w:val="24"/>
                <w:lang w:val="zh-CN"/>
              </w:rPr>
              <w:t>个工作日。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方正小标宋简体">
    <w:altName w:val="黑体"/>
    <w:panose1 w:val="03000509000000000000"/>
    <w:charset w:val="86"/>
    <w:family w:val="script"/>
    <w:pitch w:val="default"/>
    <w:sig w:usb0="00000000" w:usb1="0000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swiss"/>
    <w:pitch w:val="default"/>
    <w:sig w:usb0="61007BDF" w:usb1="80000000" w:usb2="00000008" w:usb3="00000000" w:csb0="200101FF" w:csb1="20280000"/>
  </w:font>
  <w:font w:name="Arial Narrow">
    <w:altName w:val="Arial"/>
    <w:panose1 w:val="020B0606020202030204"/>
    <w:charset w:val="00"/>
    <w:family w:val="auto"/>
    <w:pitch w:val="default"/>
    <w:sig w:usb0="00000000" w:usb1="00000000" w:usb2="00000000" w:usb3="00000000" w:csb0="2000009F" w:csb1="DFD70000"/>
  </w:font>
  <w:font w:name="Arial Narrow">
    <w:altName w:val="Arial"/>
    <w:panose1 w:val="020B0606020202030204"/>
    <w:charset w:val="01"/>
    <w:family w:val="swiss"/>
    <w:pitch w:val="default"/>
    <w:sig w:usb0="00000000" w:usb1="00000000" w:usb2="00000000" w:usb3="00000000" w:csb0="2000009F" w:csb1="DFD70000"/>
  </w:font>
  <w:font w:name="Wingdings 2">
    <w:altName w:val="Wingdings"/>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MS Reference Sans Serif">
    <w:altName w:val="Verdana"/>
    <w:panose1 w:val="020B0604030504040204"/>
    <w:charset w:val="00"/>
    <w:family w:val="auto"/>
    <w:pitch w:val="default"/>
    <w:sig w:usb0="00000000" w:usb1="00000000" w:usb2="00000000" w:usb3="00000000" w:csb0="2000019F" w:csb1="00000000"/>
  </w:font>
  <w:font w:name="Book Antiqua">
    <w:altName w:val="Palatino Linotype"/>
    <w:panose1 w:val="02040602050305030304"/>
    <w:charset w:val="00"/>
    <w:family w:val="auto"/>
    <w:pitch w:val="default"/>
    <w:sig w:usb0="00000000" w:usb1="00000000" w:usb2="00000000" w:usb3="00000000" w:csb0="2000009F" w:csb1="DFD70000"/>
  </w:font>
  <w:font w:name="MingLiU">
    <w:panose1 w:val="02020309000000000000"/>
    <w:charset w:val="88"/>
    <w:family w:val="auto"/>
    <w:pitch w:val="default"/>
    <w:sig w:usb0="00000003" w:usb1="082E0000" w:usb2="00000016" w:usb3="00000000" w:csb0="00100001" w:csb1="00000000"/>
  </w:font>
  <w:font w:name="Bookman Old Style">
    <w:altName w:val="Georgia"/>
    <w:panose1 w:val="02050604050505020204"/>
    <w:charset w:val="00"/>
    <w:family w:val="auto"/>
    <w:pitch w:val="default"/>
    <w:sig w:usb0="00000000"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Georgia">
    <w:panose1 w:val="02040502050405020303"/>
    <w:charset w:val="00"/>
    <w:family w:val="auto"/>
    <w:pitch w:val="default"/>
    <w:sig w:usb0="00000287" w:usb1="00000000" w:usb2="00000000" w:usb3="00000000" w:csb0="2000009F" w:csb1="00000000"/>
  </w:font>
  <w:font w:name="黑体">
    <w:panose1 w:val="02010600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47124"/>
    <w:rsid w:val="0EA16ECB"/>
    <w:rsid w:val="1AE40DFB"/>
    <w:rsid w:val="213C1F50"/>
    <w:rsid w:val="66E471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2016-06-30T01:53:00Z</dcterms:created>
  <dc:creator>Administrator</dc:creator>
  <cp:lastModifiedBy>Administrator</cp:lastModifiedBy>
  <dcterms:modified xsi:type="dcterms:W3CDTF">2016-07-12T04:01:48Z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