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eastAsiaTheme="minorEastAsia"/>
          <w:sz w:val="44"/>
          <w:szCs w:val="44"/>
          <w:lang w:eastAsia="zh-CN"/>
        </w:rPr>
      </w:pPr>
      <w:r>
        <w:rPr>
          <w:rFonts w:hint="eastAsia"/>
          <w:sz w:val="44"/>
          <w:szCs w:val="44"/>
          <w:lang w:eastAsia="zh-CN"/>
        </w:rPr>
        <w:t>民办非学历教育机构财务状况备案信息表</w:t>
      </w:r>
    </w:p>
    <w:tbl>
      <w:tblPr>
        <w:tblStyle w:val="6"/>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事项名称</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民办非学历教育机构财务状况备案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事项编码</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职权类型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行政检查</w:t>
            </w:r>
            <w:r>
              <w:rPr>
                <w:rFonts w:hint="eastAsia" w:ascii="仿宋" w:hAnsi="仿宋" w:eastAsia="仿宋" w:cs="仿宋"/>
                <w:color w:val="FF0000"/>
                <w:kern w:val="0"/>
                <w:sz w:val="24"/>
                <w:lang w:val="en-US" w:eastAsia="zh-CN"/>
              </w:rPr>
              <w:t xml:space="preserve"> 、审核。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行政</w:t>
            </w:r>
            <w:r>
              <w:rPr>
                <w:rFonts w:hint="eastAsia" w:ascii="仿宋" w:hAnsi="仿宋" w:eastAsia="仿宋" w:cs="仿宋"/>
                <w:color w:val="FF0000"/>
                <w:kern w:val="0"/>
                <w:sz w:val="24"/>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委托授权类型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pacing w:val="-10"/>
                <w:kern w:val="0"/>
                <w:sz w:val="24"/>
                <w:lang w:eastAsia="zh-CN"/>
              </w:rPr>
            </w:pPr>
            <w:r>
              <w:rPr>
                <w:rFonts w:hint="eastAsia" w:ascii="仿宋" w:hAnsi="仿宋" w:eastAsia="仿宋" w:cs="仿宋"/>
                <w:color w:val="FF0000"/>
                <w:spacing w:val="-1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rPr>
              <w:t>大武口区教育体育局</w:t>
            </w:r>
            <w:r>
              <w:rPr>
                <w:rFonts w:hint="eastAsia" w:ascii="仿宋" w:hAnsi="仿宋" w:eastAsia="仿宋" w:cs="仿宋"/>
                <w:color w:val="FF0000"/>
                <w:spacing w:val="-10"/>
                <w:kern w:val="0"/>
                <w:sz w:val="24"/>
                <w:lang w:eastAsia="zh-CN"/>
              </w:rPr>
              <w:t>规划财务</w:t>
            </w:r>
            <w:r>
              <w:rPr>
                <w:rFonts w:hint="eastAsia" w:ascii="仿宋" w:hAnsi="仿宋" w:eastAsia="仿宋" w:cs="仿宋"/>
                <w:color w:val="FF0000"/>
                <w:spacing w:val="-10"/>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lang w:eastAsia="zh-CN"/>
              </w:rPr>
              <w:t>备案</w:t>
            </w:r>
            <w:r>
              <w:rPr>
                <w:rFonts w:hint="eastAsia" w:ascii="黑体" w:hAnsi="黑体" w:eastAsia="黑体" w:cs="黑体"/>
                <w:kern w:val="0"/>
                <w:sz w:val="24"/>
              </w:rPr>
              <w:t>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有《民办学校办学许可证》资格的民办非学历教育培训机构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lang w:eastAsia="zh-CN"/>
              </w:rPr>
              <w:t>备案</w:t>
            </w:r>
            <w:r>
              <w:rPr>
                <w:rFonts w:hint="eastAsia" w:ascii="黑体" w:hAnsi="黑体" w:eastAsia="黑体" w:cs="黑体"/>
                <w:kern w:val="0"/>
                <w:sz w:val="24"/>
              </w:rPr>
              <w:t>条件</w:t>
            </w:r>
          </w:p>
        </w:tc>
        <w:tc>
          <w:tcPr>
            <w:tcW w:w="6959" w:type="dxa"/>
            <w:tcBorders>
              <w:top w:val="single" w:color="auto" w:sz="4" w:space="0"/>
              <w:left w:val="single" w:color="auto" w:sz="4" w:space="0"/>
              <w:bottom w:val="single" w:color="auto" w:sz="4" w:space="0"/>
              <w:right w:val="single" w:color="auto" w:sz="4" w:space="0"/>
            </w:tcBorders>
            <w:vAlign w:val="center"/>
          </w:tcPr>
          <w:tbl>
            <w:tblPr>
              <w:tblStyle w:val="6"/>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有《民办学校办学许可证》资格的民办非学历教育培训机构</w:t>
                  </w:r>
                </w:p>
              </w:tc>
            </w:tr>
          </w:tbl>
          <w:p>
            <w:pPr>
              <w:widowControl/>
              <w:adjustRightInd w:val="0"/>
              <w:snapToGrid w:val="0"/>
              <w:spacing w:line="360" w:lineRule="atLeast"/>
              <w:ind w:firstLine="440" w:firstLineChars="200"/>
              <w:jc w:val="left"/>
              <w:rPr>
                <w:rFonts w:hint="eastAsia" w:ascii="仿宋" w:hAnsi="仿宋" w:eastAsia="仿宋" w:cs="仿宋"/>
                <w:color w:val="FF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数量限制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法律依据</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【法律】《中华人民共和国民办教育促进法》（2013年修改）</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第五章 学校资产与财务管理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第三十四条 民办学校应当依法建立财务、会计制度和资产管理制度，并按照国家有关规定设置会计帐簿。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第三十五条 民办学校对举办者投入民办学校的资产、国有资产、受赠的财产以及办学积累，享有法人财产权。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第三十六条 民办学校存续期间，所有资产由民办学校依法管理和使用，任何组织和个人不得侵占。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任何组织和个人都不得违反法律、法规向民办教育机构收取任何费用。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第三十七条 民办学校对接受学历教育的受教育者收取费用的项目和标准由学校制定，报有关部门批准并公示；对其他受教育者收取费用的项目和标准由学校制定，报有关部门备案并公示。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民办学校收取的费用应当主要用于教育教学活动和改善办学条件。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第三十八条 民办学校资产的使用和财务管理受审批机关和其他有关部门的监督。 </w:t>
            </w: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color w:val="FF0000"/>
                <w:kern w:val="0"/>
                <w:sz w:val="24"/>
                <w:szCs w:val="24"/>
                <w:lang w:val="en-US" w:eastAsia="zh-CN" w:bidi="ar-SA"/>
              </w:rPr>
            </w:pPr>
            <w:r>
              <w:rPr>
                <w:rFonts w:hint="eastAsia" w:ascii="仿宋" w:hAnsi="仿宋" w:eastAsia="仿宋" w:cs="仿宋"/>
                <w:color w:val="FF0000"/>
                <w:kern w:val="0"/>
                <w:sz w:val="24"/>
                <w:szCs w:val="24"/>
                <w:lang w:val="en-US" w:eastAsia="zh-CN" w:bidi="ar-SA"/>
              </w:rPr>
              <w:t xml:space="preserve">民办学校应当在每个会计年度结束时制作财务会计报告，委托会计师事务所依法进行审计，并公布审计结果。 </w:t>
            </w:r>
          </w:p>
          <w:p>
            <w:pPr>
              <w:widowControl/>
              <w:adjustRightInd w:val="0"/>
              <w:snapToGrid w:val="0"/>
              <w:spacing w:line="360" w:lineRule="atLeast"/>
              <w:ind w:firstLine="480" w:firstLineChars="200"/>
              <w:jc w:val="left"/>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申报材料</w:t>
            </w:r>
          </w:p>
        </w:tc>
        <w:tc>
          <w:tcPr>
            <w:tcW w:w="695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民办非学历教育机构年度财务报告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服务表格</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民办非学历教育机构年度财务报表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color w:val="000000"/>
                <w:kern w:val="0"/>
                <w:sz w:val="24"/>
              </w:rPr>
              <w:t>收费依据和标准</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法定期限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承诺期限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特殊环节</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年审或</w:t>
            </w:r>
          </w:p>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年检</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事项公示</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办理地点</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z w:val="24"/>
                <w:lang w:eastAsia="zh-Hans"/>
              </w:rPr>
            </w:pPr>
            <w:r>
              <w:rPr>
                <w:rFonts w:hint="eastAsia" w:ascii="仿宋" w:hAnsi="仿宋" w:eastAsia="仿宋" w:cs="仿宋"/>
                <w:color w:val="FF0000"/>
                <w:sz w:val="24"/>
              </w:rPr>
              <w:t>大武口区</w:t>
            </w:r>
            <w:r>
              <w:rPr>
                <w:rFonts w:hint="eastAsia" w:ascii="仿宋" w:hAnsi="仿宋" w:eastAsia="仿宋" w:cs="仿宋"/>
                <w:color w:val="FF0000"/>
                <w:kern w:val="0"/>
                <w:sz w:val="24"/>
              </w:rPr>
              <w:t>政务服务大厅教育体育局</w:t>
            </w:r>
            <w:r>
              <w:rPr>
                <w:rFonts w:hint="eastAsia" w:ascii="仿宋" w:hAnsi="仿宋" w:eastAsia="仿宋" w:cs="仿宋"/>
                <w:color w:val="FF000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联系电话</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sz w:val="24"/>
                <w:lang w:eastAsia="zh-Hans"/>
              </w:rPr>
            </w:pPr>
            <w:r>
              <w:rPr>
                <w:rFonts w:hint="eastAsia" w:ascii="仿宋" w:hAnsi="仿宋" w:eastAsia="仿宋" w:cs="仿宋"/>
                <w:color w:val="FF0000"/>
                <w:sz w:val="24"/>
              </w:rPr>
              <w:t xml:space="preserve">    </w:t>
            </w:r>
            <w:r>
              <w:rPr>
                <w:rFonts w:hint="eastAsia" w:ascii="仿宋" w:hAnsi="仿宋" w:eastAsia="仿宋" w:cs="仿宋"/>
                <w:color w:val="FF0000"/>
                <w:sz w:val="24"/>
                <w:lang w:eastAsia="zh-Hans"/>
              </w:rPr>
              <w:t>095</w:t>
            </w:r>
            <w:r>
              <w:rPr>
                <w:rFonts w:hint="eastAsia" w:ascii="仿宋" w:hAnsi="仿宋" w:eastAsia="仿宋" w:cs="仿宋"/>
                <w:color w:val="FF0000"/>
                <w:sz w:val="24"/>
              </w:rPr>
              <w:t>2</w:t>
            </w:r>
            <w:r>
              <w:rPr>
                <w:rFonts w:hint="eastAsia" w:ascii="仿宋" w:hAnsi="仿宋" w:eastAsia="仿宋" w:cs="仿宋"/>
                <w:color w:val="FF0000"/>
                <w:sz w:val="24"/>
                <w:lang w:eastAsia="zh-Hans"/>
              </w:rPr>
              <w:t>-</w:t>
            </w:r>
            <w:r>
              <w:rPr>
                <w:rFonts w:hint="eastAsia" w:ascii="仿宋" w:hAnsi="仿宋" w:eastAsia="仿宋" w:cs="仿宋"/>
                <w:color w:val="FF0000"/>
                <w:sz w:val="24"/>
              </w:rPr>
              <w:t>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监督电话</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0952-2688608、2012076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办理查询</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
                <w:color w:val="FF0000"/>
                <w:kern w:val="0"/>
                <w:sz w:val="24"/>
              </w:rPr>
            </w:pPr>
            <w:r>
              <w:rPr>
                <w:rFonts w:hint="eastAsia" w:ascii="仿宋" w:hAnsi="仿宋" w:eastAsia="仿宋" w:cs="仿宋"/>
                <w:color w:val="FF0000"/>
                <w:kern w:val="0"/>
                <w:sz w:val="24"/>
              </w:rPr>
              <w:t>申请人可通过宁夏政务服务网、大武口区政务服务大厅窗口电话、政务服务微信平台、大武口区政务服务大厅窗口等方式查询政务服务事项的办理进程。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在线办理链接</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_GB2312"/>
                <w:color w:val="FF0000"/>
                <w:kern w:val="0"/>
                <w:sz w:val="24"/>
              </w:rPr>
            </w:pPr>
          </w:p>
        </w:tc>
      </w:tr>
    </w:tbl>
    <w:p/>
    <w:p/>
    <w:p/>
    <w:p/>
    <w:p/>
    <w:p/>
    <w:p/>
    <w:p/>
    <w:p/>
    <w:p/>
    <w:p/>
    <w:p/>
    <w:p/>
    <w:p/>
    <w:p/>
    <w:p/>
    <w:p/>
    <w:p/>
    <w:p>
      <w:pPr>
        <w:autoSpaceDE w:val="0"/>
        <w:autoSpaceDN w:val="0"/>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民办非学历教育机构财务状况备案</w:t>
      </w:r>
      <w:r>
        <w:rPr>
          <w:rFonts w:hint="eastAsia" w:ascii="方正小标宋简体" w:hAnsi="宋体" w:eastAsia="方正小标宋简体" w:cs="宋体"/>
          <w:kern w:val="0"/>
          <w:sz w:val="44"/>
          <w:szCs w:val="44"/>
        </w:rPr>
        <w:t>流程</w:t>
      </w:r>
    </w:p>
    <w:tbl>
      <w:tblPr>
        <w:tblStyle w:val="6"/>
        <w:tblpPr w:leftFromText="180" w:rightFromText="180" w:vertAnchor="text" w:horzAnchor="page" w:tblpX="1650" w:tblpY="99"/>
        <w:tblOverlap w:val="never"/>
        <w:tblW w:w="8620" w:type="dxa"/>
        <w:tblInd w:w="0" w:type="dxa"/>
        <w:tblLayout w:type="fixed"/>
        <w:tblCellMar>
          <w:top w:w="0" w:type="dxa"/>
          <w:left w:w="14" w:type="dxa"/>
          <w:bottom w:w="0" w:type="dxa"/>
          <w:right w:w="14" w:type="dxa"/>
        </w:tblCellMar>
      </w:tblPr>
      <w:tblGrid>
        <w:gridCol w:w="1079"/>
        <w:gridCol w:w="1494"/>
        <w:gridCol w:w="4278"/>
        <w:gridCol w:w="1769"/>
      </w:tblGrid>
      <w:tr>
        <w:tblPrEx>
          <w:tblLayout w:type="fixed"/>
          <w:tblCellMar>
            <w:top w:w="0" w:type="dxa"/>
            <w:left w:w="14" w:type="dxa"/>
            <w:bottom w:w="0" w:type="dxa"/>
            <w:right w:w="14" w:type="dxa"/>
          </w:tblCellMar>
        </w:tblPrEx>
        <w:trPr>
          <w:trHeight w:val="1148" w:hRule="atLeast"/>
        </w:trPr>
        <w:tc>
          <w:tcPr>
            <w:tcW w:w="1079" w:type="dxa"/>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程  序</w:t>
            </w:r>
          </w:p>
        </w:tc>
        <w:tc>
          <w:tcPr>
            <w:tcW w:w="1494"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及责任人</w:t>
            </w:r>
          </w:p>
        </w:tc>
        <w:tc>
          <w:tcPr>
            <w:tcW w:w="4278"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工作内容</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办结时限</w:t>
            </w:r>
          </w:p>
        </w:tc>
      </w:tr>
      <w:tr>
        <w:tblPrEx>
          <w:tblLayout w:type="fixed"/>
          <w:tblCellMar>
            <w:top w:w="0" w:type="dxa"/>
            <w:left w:w="14" w:type="dxa"/>
            <w:bottom w:w="0" w:type="dxa"/>
            <w:right w:w="14" w:type="dxa"/>
          </w:tblCellMar>
        </w:tblPrEx>
        <w:trPr>
          <w:trHeight w:val="2583" w:hRule="atLeast"/>
        </w:trPr>
        <w:tc>
          <w:tcPr>
            <w:tcW w:w="1079" w:type="dxa"/>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受  理</w:t>
            </w: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无</w:t>
            </w:r>
          </w:p>
        </w:tc>
        <w:tc>
          <w:tcPr>
            <w:tcW w:w="4278"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无</w:t>
            </w:r>
          </w:p>
        </w:tc>
        <w:tc>
          <w:tcPr>
            <w:tcW w:w="1769"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无</w:t>
            </w:r>
          </w:p>
        </w:tc>
      </w:tr>
      <w:tr>
        <w:tblPrEx>
          <w:tblLayout w:type="fixed"/>
          <w:tblCellMar>
            <w:top w:w="0" w:type="dxa"/>
            <w:left w:w="14" w:type="dxa"/>
            <w:bottom w:w="0" w:type="dxa"/>
            <w:right w:w="14" w:type="dxa"/>
          </w:tblCellMar>
        </w:tblPrEx>
        <w:trPr>
          <w:trHeight w:val="1636" w:hRule="atLeast"/>
        </w:trPr>
        <w:tc>
          <w:tcPr>
            <w:tcW w:w="1079" w:type="dxa"/>
            <w:vMerge w:val="restart"/>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494" w:type="dxa"/>
            <w:tcBorders>
              <w:top w:val="single" w:color="000000" w:sz="2"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区教育体育局</w:t>
            </w:r>
            <w:r>
              <w:rPr>
                <w:rFonts w:hint="eastAsia" w:ascii="仿宋" w:hAnsi="仿宋" w:eastAsia="仿宋" w:cs="仿宋"/>
                <w:color w:val="FF0000"/>
                <w:kern w:val="0"/>
                <w:sz w:val="24"/>
                <w:lang w:eastAsia="zh-CN"/>
              </w:rPr>
              <w:t>规划财务室</w:t>
            </w:r>
          </w:p>
          <w:p>
            <w:pPr>
              <w:adjustRightInd w:val="0"/>
              <w:snapToGrid w:val="0"/>
              <w:spacing w:line="280" w:lineRule="atLeast"/>
              <w:jc w:val="center"/>
              <w:rPr>
                <w:rFonts w:hint="eastAsia" w:ascii="仿宋" w:hAnsi="仿宋" w:eastAsia="仿宋" w:cs="仿宋"/>
                <w:color w:val="FF0000"/>
                <w:sz w:val="24"/>
                <w:lang w:eastAsia="zh-CN"/>
              </w:rPr>
            </w:pPr>
            <w:r>
              <w:rPr>
                <w:rFonts w:hint="eastAsia" w:ascii="仿宋" w:hAnsi="仿宋" w:eastAsia="仿宋" w:cs="仿宋"/>
                <w:color w:val="FF0000"/>
                <w:kern w:val="0"/>
                <w:sz w:val="24"/>
                <w:lang w:eastAsia="zh-CN"/>
              </w:rPr>
              <w:t>黄学琴</w:t>
            </w:r>
          </w:p>
        </w:tc>
        <w:tc>
          <w:tcPr>
            <w:tcW w:w="4278" w:type="dxa"/>
            <w:tcBorders>
              <w:top w:val="single" w:color="000000" w:sz="2" w:space="0"/>
              <w:left w:val="single" w:color="auto" w:sz="4" w:space="0"/>
              <w:bottom w:val="single" w:color="auto" w:sz="4" w:space="0"/>
              <w:right w:val="single" w:color="auto"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 w:hAnsi="仿宋" w:eastAsia="仿宋" w:cs="仿宋"/>
                <w:color w:val="FF0000"/>
                <w:sz w:val="24"/>
                <w:lang w:val="en-US" w:eastAsia="zh-CN"/>
              </w:rPr>
            </w:pPr>
            <w:r>
              <w:rPr>
                <w:rFonts w:hint="eastAsia" w:ascii="仿宋" w:hAnsi="仿宋" w:eastAsia="仿宋" w:cs="仿宋"/>
                <w:color w:val="FF0000"/>
                <w:kern w:val="0"/>
                <w:sz w:val="24"/>
                <w:szCs w:val="24"/>
                <w:lang w:val="en-US" w:eastAsia="zh-CN" w:bidi="ar-SA"/>
              </w:rPr>
              <w:t xml:space="preserve">    审核民办非学历教育机构在每个会计年度结束时上报的财务报告，公布审核结果，并送报办公室。</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p>
        </w:tc>
      </w:tr>
      <w:tr>
        <w:tblPrEx>
          <w:tblLayout w:type="fixed"/>
          <w:tblCellMar>
            <w:top w:w="0" w:type="dxa"/>
            <w:left w:w="14" w:type="dxa"/>
            <w:bottom w:w="0" w:type="dxa"/>
            <w:right w:w="14" w:type="dxa"/>
          </w:tblCellMar>
        </w:tblPrEx>
        <w:trPr>
          <w:trHeight w:val="1884" w:hRule="atLeast"/>
        </w:trPr>
        <w:tc>
          <w:tcPr>
            <w:tcW w:w="1079" w:type="dxa"/>
            <w:vMerge w:val="continue"/>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494" w:type="dxa"/>
            <w:tcBorders>
              <w:top w:val="single" w:color="auto" w:sz="4" w:space="0"/>
              <w:left w:val="single" w:color="auto" w:sz="4" w:space="0"/>
              <w:bottom w:val="single" w:color="000000" w:sz="2"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区教育体育局办公室</w:t>
            </w:r>
          </w:p>
          <w:p>
            <w:pPr>
              <w:spacing w:line="36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张军</w:t>
            </w:r>
          </w:p>
          <w:p>
            <w:pPr>
              <w:spacing w:line="360" w:lineRule="exact"/>
              <w:jc w:val="center"/>
              <w:rPr>
                <w:rFonts w:hint="eastAsia" w:ascii="仿宋" w:hAnsi="仿宋" w:eastAsia="仿宋" w:cs="仿宋"/>
                <w:color w:val="FF0000"/>
                <w:sz w:val="24"/>
                <w:lang w:eastAsia="zh-CN"/>
              </w:rPr>
            </w:pP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8295021906</w:t>
            </w:r>
          </w:p>
        </w:tc>
        <w:tc>
          <w:tcPr>
            <w:tcW w:w="42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both"/>
              <w:rPr>
                <w:rFonts w:hint="eastAsia" w:ascii="仿宋" w:hAnsi="仿宋" w:eastAsia="仿宋" w:cs="仿宋"/>
                <w:color w:val="FF0000"/>
                <w:sz w:val="24"/>
                <w:lang w:eastAsia="zh-CN"/>
              </w:rPr>
            </w:pPr>
            <w:r>
              <w:rPr>
                <w:rFonts w:hint="eastAsia" w:ascii="仿宋" w:hAnsi="仿宋" w:eastAsia="仿宋" w:cs="仿宋"/>
                <w:color w:val="FF0000"/>
                <w:kern w:val="0"/>
                <w:sz w:val="24"/>
                <w:szCs w:val="24"/>
                <w:lang w:val="en-US" w:eastAsia="zh-CN" w:bidi="ar-SA"/>
              </w:rPr>
              <w:t>审核规划财务室报送的民办非学历教育机构上报的财务报告。</w:t>
            </w:r>
          </w:p>
        </w:tc>
        <w:tc>
          <w:tcPr>
            <w:tcW w:w="1769"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仿宋" w:hAnsi="仿宋" w:eastAsia="仿宋" w:cs="仿宋"/>
                <w:color w:val="FF0000"/>
                <w:kern w:val="0"/>
                <w:sz w:val="24"/>
                <w:lang w:val="zh-CN"/>
              </w:rPr>
            </w:pPr>
          </w:p>
        </w:tc>
      </w:tr>
      <w:tr>
        <w:tblPrEx>
          <w:tblLayout w:type="fixed"/>
          <w:tblCellMar>
            <w:top w:w="0" w:type="dxa"/>
            <w:left w:w="14" w:type="dxa"/>
            <w:bottom w:w="0" w:type="dxa"/>
            <w:right w:w="14" w:type="dxa"/>
          </w:tblCellMar>
        </w:tblPrEx>
        <w:trPr>
          <w:trHeight w:val="163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494" w:type="dxa"/>
            <w:tcBorders>
              <w:top w:val="single" w:color="000000" w:sz="2" w:space="0"/>
              <w:left w:val="single" w:color="000000" w:sz="2" w:space="0"/>
              <w:bottom w:val="single" w:color="000000" w:sz="2"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p>
          <w:p>
            <w:pPr>
              <w:adjustRightInd w:val="0"/>
              <w:snapToGrid w:val="0"/>
              <w:spacing w:line="28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赵辉</w:t>
            </w:r>
            <w:r>
              <w:rPr>
                <w:rFonts w:hint="eastAsia" w:ascii="仿宋" w:hAnsi="仿宋" w:eastAsia="仿宋" w:cs="仿宋"/>
                <w:color w:val="FF0000"/>
                <w:kern w:val="0"/>
                <w:sz w:val="24"/>
                <w:lang w:val="en-US" w:eastAsia="zh-CN"/>
              </w:rPr>
              <w:t>13995023038</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en-US" w:eastAsia="zh-CN"/>
              </w:rPr>
              <w:t xml:space="preserve">    </w:t>
            </w:r>
            <w:r>
              <w:rPr>
                <w:rFonts w:hint="eastAsia" w:ascii="仿宋" w:hAnsi="仿宋" w:eastAsia="仿宋"/>
                <w:color w:val="FF0000"/>
                <w:sz w:val="24"/>
              </w:rPr>
              <w:t>签发《审查意见书》，在2个工作日完成。</w:t>
            </w:r>
            <w:r>
              <w:rPr>
                <w:rFonts w:hint="eastAsia" w:ascii="仿宋" w:hAnsi="仿宋" w:eastAsia="仿宋" w:cs="仿宋"/>
                <w:color w:val="FF0000"/>
                <w:kern w:val="0"/>
                <w:sz w:val="24"/>
                <w:lang w:val="en-US" w:eastAsia="zh-CN"/>
              </w:rPr>
              <w:t xml:space="preserve">   </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无</w:t>
            </w:r>
          </w:p>
        </w:tc>
      </w:tr>
      <w:tr>
        <w:tblPrEx>
          <w:tblLayout w:type="fixed"/>
          <w:tblCellMar>
            <w:top w:w="0" w:type="dxa"/>
            <w:left w:w="14" w:type="dxa"/>
            <w:bottom w:w="0" w:type="dxa"/>
            <w:right w:w="14" w:type="dxa"/>
          </w:tblCellMar>
        </w:tblPrEx>
        <w:trPr>
          <w:trHeight w:val="156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区教育体育局</w:t>
            </w:r>
            <w:r>
              <w:rPr>
                <w:rFonts w:hint="eastAsia" w:ascii="仿宋" w:hAnsi="仿宋" w:eastAsia="仿宋" w:cs="仿宋"/>
                <w:color w:val="FF0000"/>
                <w:kern w:val="0"/>
                <w:sz w:val="24"/>
                <w:lang w:eastAsia="zh-CN"/>
              </w:rPr>
              <w:t>规划财务室</w:t>
            </w:r>
          </w:p>
          <w:p>
            <w:pPr>
              <w:adjustRightInd w:val="0"/>
              <w:snapToGrid w:val="0"/>
              <w:spacing w:line="280" w:lineRule="atLeas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黄学琴</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ind w:firstLine="48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szCs w:val="24"/>
                <w:lang w:val="en-US" w:eastAsia="zh-CN" w:bidi="ar-SA"/>
              </w:rPr>
              <w:t>对民办非学历教育机构上报的财务报告，送达并</w:t>
            </w:r>
            <w:r>
              <w:rPr>
                <w:rFonts w:hint="eastAsia" w:ascii="仿宋" w:hAnsi="仿宋" w:eastAsia="仿宋" w:cs="仿宋"/>
                <w:color w:val="FF0000"/>
                <w:kern w:val="0"/>
                <w:sz w:val="24"/>
                <w:lang w:val="zh-CN"/>
              </w:rPr>
              <w:t>公布审核结果。</w:t>
            </w:r>
            <w:bookmarkStart w:id="0" w:name="_GoBack"/>
            <w:bookmarkEnd w:id="0"/>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 xml:space="preserve">       无</w:t>
            </w:r>
          </w:p>
        </w:tc>
      </w:tr>
      <w:tr>
        <w:tblPrEx>
          <w:tblLayout w:type="fixed"/>
          <w:tblCellMar>
            <w:top w:w="0" w:type="dxa"/>
            <w:left w:w="14" w:type="dxa"/>
            <w:bottom w:w="0" w:type="dxa"/>
            <w:right w:w="14" w:type="dxa"/>
          </w:tblCellMar>
        </w:tblPrEx>
        <w:trPr>
          <w:trHeight w:val="2045"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备</w:t>
            </w:r>
            <w:r>
              <w:rPr>
                <w:rFonts w:hint="eastAsia" w:ascii="黑体" w:hAnsi="黑体" w:eastAsia="黑体" w:cs="黑体"/>
                <w:kern w:val="0"/>
                <w:sz w:val="24"/>
              </w:rPr>
              <w:t xml:space="preserve">  </w:t>
            </w:r>
            <w:r>
              <w:rPr>
                <w:rFonts w:hint="eastAsia" w:ascii="黑体" w:hAnsi="黑体" w:eastAsia="黑体" w:cs="黑体"/>
                <w:kern w:val="0"/>
                <w:sz w:val="24"/>
                <w:lang w:val="zh-CN"/>
              </w:rPr>
              <w:t>注</w:t>
            </w:r>
          </w:p>
        </w:tc>
        <w:tc>
          <w:tcPr>
            <w:tcW w:w="7541"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rPr>
              <w:t xml:space="preserve">    3.</w:t>
            </w:r>
            <w:r>
              <w:rPr>
                <w:rFonts w:hint="eastAsia" w:ascii="仿宋" w:hAnsi="仿宋" w:eastAsia="仿宋" w:cs="仿宋"/>
                <w:color w:val="FF0000"/>
                <w:kern w:val="0"/>
                <w:sz w:val="24"/>
                <w:lang w:val="zh-CN"/>
              </w:rPr>
              <w:t>法定办理期限为</w:t>
            </w:r>
            <w:r>
              <w:rPr>
                <w:rFonts w:hint="eastAsia" w:ascii="仿宋" w:hAnsi="仿宋" w:eastAsia="仿宋" w:cs="仿宋"/>
                <w:color w:val="FF0000"/>
                <w:kern w:val="0"/>
                <w:sz w:val="24"/>
              </w:rPr>
              <w:t>3个月</w:t>
            </w:r>
            <w:r>
              <w:rPr>
                <w:rFonts w:hint="eastAsia" w:ascii="仿宋" w:hAnsi="仿宋" w:eastAsia="仿宋" w:cs="仿宋"/>
                <w:color w:val="FF0000"/>
                <w:kern w:val="0"/>
                <w:sz w:val="24"/>
                <w:lang w:val="zh-CN"/>
              </w:rPr>
              <w:t>，承诺办理期限为</w:t>
            </w:r>
            <w:r>
              <w:rPr>
                <w:rFonts w:hint="eastAsia" w:ascii="仿宋" w:hAnsi="仿宋" w:eastAsia="仿宋" w:cs="仿宋"/>
                <w:color w:val="FF0000"/>
                <w:kern w:val="0"/>
                <w:sz w:val="24"/>
              </w:rPr>
              <w:t>15</w:t>
            </w:r>
            <w:r>
              <w:rPr>
                <w:rFonts w:hint="eastAsia" w:ascii="仿宋" w:hAnsi="仿宋" w:eastAsia="仿宋" w:cs="仿宋"/>
                <w:color w:val="FF0000"/>
                <w:kern w:val="0"/>
                <w:sz w:val="24"/>
                <w:lang w:val="zh-CN"/>
              </w:rPr>
              <w:t>个工作日。</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Arial Narrow">
    <w:altName w:val="Arial"/>
    <w:panose1 w:val="020B0606020202030204"/>
    <w:charset w:val="01"/>
    <w:family w:val="swiss"/>
    <w:pitch w:val="default"/>
    <w:sig w:usb0="00000000"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MS Reference Sans Serif">
    <w:altName w:val="Verdana"/>
    <w:panose1 w:val="020B0604030504040204"/>
    <w:charset w:val="00"/>
    <w:family w:val="auto"/>
    <w:pitch w:val="default"/>
    <w:sig w:usb0="00000000" w:usb1="00000000" w:usb2="00000000" w:usb3="00000000" w:csb0="2000019F" w:csb1="00000000"/>
  </w:font>
  <w:font w:name="Book Antiqua">
    <w:altName w:val="Palatino Linotype"/>
    <w:panose1 w:val="02040602050305030304"/>
    <w:charset w:val="00"/>
    <w:family w:val="auto"/>
    <w:pitch w:val="default"/>
    <w:sig w:usb0="00000000" w:usb1="00000000" w:usb2="00000000" w:usb3="00000000" w:csb0="2000009F" w:csb1="DFD70000"/>
  </w:font>
  <w:font w:name="MingLiU">
    <w:panose1 w:val="02020309000000000000"/>
    <w:charset w:val="88"/>
    <w:family w:val="auto"/>
    <w:pitch w:val="default"/>
    <w:sig w:usb0="00000003" w:usb1="082E0000" w:usb2="00000016" w:usb3="00000000" w:csb0="00100001" w:csb1="00000000"/>
  </w:font>
  <w:font w:name="Bookman Old Style">
    <w:altName w:val="Georgia"/>
    <w:panose1 w:val="02050604050505020204"/>
    <w:charset w:val="00"/>
    <w:family w:val="auto"/>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E4EF3"/>
    <w:rsid w:val="01355880"/>
    <w:rsid w:val="437A156B"/>
    <w:rsid w:val="49824DB8"/>
    <w:rsid w:val="4A6E4EF3"/>
    <w:rsid w:val="5D7004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rFonts w:hint="eastAsia" w:ascii="宋体" w:hAnsi="宋体" w:eastAsia="宋体" w:cs="宋体"/>
      <w:color w:val="000000"/>
      <w:u w:val="none"/>
    </w:rPr>
  </w:style>
  <w:style w:type="character" w:styleId="5">
    <w:name w:val="Hyperlink"/>
    <w:basedOn w:val="3"/>
    <w:qFormat/>
    <w:uiPriority w:val="0"/>
    <w:rPr>
      <w:rFonts w:hint="eastAsia" w:ascii="宋体" w:hAnsi="宋体" w:eastAsia="宋体" w:cs="宋体"/>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2016-06-30T03:11:00Z</dcterms:created>
  <dc:creator>Administrator</dc:creator>
  <cp:lastModifiedBy>Administrator</cp:lastModifiedBy>
  <dcterms:modified xsi:type="dcterms:W3CDTF">2016-07-12T09:54:19Z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