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lang w:val="en-US" w:eastAsia="zh-CN"/>
        </w:rPr>
      </w:pPr>
      <w:r>
        <w:rPr>
          <w:rFonts w:hint="eastAsia" w:ascii="仿宋" w:hAnsi="仿宋" w:eastAsia="仿宋" w:cs="仿宋"/>
          <w:kern w:val="0"/>
          <w:sz w:val="28"/>
          <w:szCs w:val="28"/>
          <w:lang w:val="en-US" w:eastAsia="zh-CN"/>
        </w:rPr>
        <w:t>附件3</w:t>
      </w:r>
    </w:p>
    <w:p>
      <w:pPr>
        <w:widowControl/>
        <w:adjustRightInd w:val="0"/>
        <w:snapToGrid w:val="0"/>
        <w:spacing w:line="240" w:lineRule="atLeast"/>
        <w:jc w:val="center"/>
        <w:rPr>
          <w:rFonts w:hint="eastAsia"/>
        </w:rPr>
      </w:pPr>
      <w:bookmarkStart w:id="0" w:name="OLE_LINK8"/>
      <w:r>
        <w:rPr>
          <w:rFonts w:hint="eastAsia" w:ascii="方正小标宋简体" w:hAnsi="宋体" w:eastAsia="方正小标宋简体" w:cs="宋体"/>
          <w:color w:val="000000"/>
          <w:kern w:val="0"/>
          <w:sz w:val="44"/>
          <w:szCs w:val="44"/>
        </w:rPr>
        <w:t>中小学转学、休学、复学审核</w:t>
      </w:r>
      <w:bookmarkEnd w:id="0"/>
      <w:r>
        <w:rPr>
          <w:rFonts w:hint="eastAsia" w:ascii="方正小标宋简体" w:hAnsi="宋体" w:eastAsia="方正小标宋简体" w:cs="宋体"/>
          <w:kern w:val="0"/>
          <w:sz w:val="44"/>
          <w:szCs w:val="44"/>
        </w:rPr>
        <w:t>信息表</w:t>
      </w:r>
    </w:p>
    <w:tbl>
      <w:tblPr>
        <w:tblStyle w:val="3"/>
        <w:tblpPr w:leftFromText="180" w:rightFromText="180" w:vertAnchor="text" w:horzAnchor="page" w:tblpX="1882" w:tblpY="25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事项名称</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中小学转学、休学、复学审核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事项编码</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（事项编码不需要填写）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事项类别</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其他类</w:t>
            </w:r>
          </w:p>
          <w:p>
            <w:pPr>
              <w:widowControl/>
              <w:adjustRightInd w:val="0"/>
              <w:snapToGrid w:val="0"/>
              <w:spacing w:line="360" w:lineRule="atLeast"/>
              <w:jc w:val="left"/>
              <w:rPr>
                <w:rFonts w:hint="eastAsia" w:ascii="仿宋" w:hAnsi="仿宋" w:eastAsia="仿宋" w:cs="仿宋"/>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职权类型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eastAsia="zh-CN"/>
              </w:rPr>
              <w:t>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是否纳入</w:t>
            </w:r>
          </w:p>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政府购买服务</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大武口区</w:t>
            </w:r>
            <w:r>
              <w:rPr>
                <w:rFonts w:hint="eastAsia" w:ascii="仿宋" w:hAnsi="仿宋" w:eastAsia="仿宋" w:cs="仿宋"/>
                <w:color w:val="000000"/>
                <w:kern w:val="0"/>
                <w:sz w:val="24"/>
                <w:lang w:eastAsia="zh-CN"/>
              </w:rPr>
              <w:t>教育体育</w:t>
            </w:r>
            <w:r>
              <w:rPr>
                <w:rFonts w:hint="eastAsia" w:ascii="仿宋" w:hAnsi="仿宋" w:eastAsia="仿宋" w:cs="仿宋"/>
                <w:color w:val="000000"/>
                <w:kern w:val="0"/>
                <w:sz w:val="24"/>
              </w:rPr>
              <w:t>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申请条件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val="en-US" w:eastAsia="zh-CN"/>
              </w:rPr>
              <w:t>按照《宁夏中小学生学籍管理办法实施细则》</w:t>
            </w:r>
            <w:bookmarkStart w:id="1" w:name="OLE_LINK7"/>
            <w:r>
              <w:rPr>
                <w:rFonts w:hint="eastAsia" w:ascii="仿宋" w:hAnsi="仿宋" w:eastAsia="仿宋" w:cs="仿宋"/>
                <w:color w:val="000000"/>
                <w:kern w:val="0"/>
                <w:sz w:val="24"/>
                <w:lang w:val="en-US" w:eastAsia="zh-CN"/>
              </w:rPr>
              <w:t>（2014）</w:t>
            </w:r>
            <w:bookmarkEnd w:id="1"/>
            <w:r>
              <w:rPr>
                <w:rFonts w:hint="eastAsia" w:ascii="仿宋" w:hAnsi="仿宋" w:eastAsia="仿宋" w:cs="仿宋"/>
                <w:color w:val="000000"/>
                <w:kern w:val="0"/>
                <w:sz w:val="24"/>
                <w:lang w:val="en-US" w:eastAsia="zh-CN"/>
              </w:rPr>
              <w:t>规定，申请者应当具备以下申请条件：</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学生因家长工作异地调动、住房搬迁或其他原因，户籍迁离原学校服务区，且路途远不能在原校学习的，学生家长或其他法定监护人可向转入地学校提出转学申请，经转出和转入学校同意，并报双方学校所在地的教育行政部门审核批准，方可办理转学手续。</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2、中小学生如因伤病和本人不可抗拒原因确需休学的，由监护人提出书面休学申请，填写《宁夏中小学生休学、复学申请表》（附件6，以下简称《休学、复学申请表》）并提交有关证明材料(因伤病提出休学的，需经县级以上教育主管部门指定的医疗单位检查并出具证明及相关材料。学生因不可抗拒的原因提出休学的，需出具公安或民政、劳动等有关部门的证明)，学校审核后做休学处理，报教育行政主管部门学籍管理者核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数量限制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lang w:eastAsia="zh-CN"/>
              </w:rPr>
              <w:t>设定</w:t>
            </w:r>
            <w:r>
              <w:rPr>
                <w:rFonts w:hint="eastAsia" w:ascii="黑体" w:hAnsi="黑体" w:eastAsia="黑体" w:cs="黑体"/>
                <w:kern w:val="0"/>
                <w:sz w:val="22"/>
                <w:szCs w:val="22"/>
              </w:rPr>
              <w:t>依据</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val="en-US" w:eastAsia="zh-CN"/>
              </w:rPr>
              <w:t>《宁夏中小学生学籍管理办法实施细则》（2014</w:t>
            </w:r>
            <w:bookmarkStart w:id="2" w:name="OLE_LINK5"/>
            <w:r>
              <w:rPr>
                <w:rFonts w:hint="eastAsia" w:ascii="仿宋" w:hAnsi="仿宋" w:eastAsia="仿宋" w:cs="仿宋"/>
                <w:color w:val="000000"/>
                <w:kern w:val="0"/>
                <w:sz w:val="24"/>
                <w:lang w:val="en-US" w:eastAsia="zh-CN"/>
              </w:rPr>
              <w:t>）第十九条 义务教育年限为九年，实行“六·三”制或九年一贯制。全区普通高中教育年限为三年，实行三年制（对于符合自治区“高二分流”政策规定的普通高中学校学生，可实行两年制）。普通中小学校不允许留级。</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第二十条 </w:t>
            </w:r>
            <w:bookmarkStart w:id="3" w:name="OLE_LINK6"/>
            <w:r>
              <w:rPr>
                <w:rFonts w:hint="eastAsia" w:ascii="仿宋" w:hAnsi="仿宋" w:eastAsia="仿宋" w:cs="仿宋"/>
                <w:color w:val="000000"/>
                <w:kern w:val="0"/>
                <w:sz w:val="24"/>
                <w:lang w:val="en-US" w:eastAsia="zh-CN"/>
              </w:rPr>
              <w:t>中小学生如因伤病和本人不可抗拒原因确需休学的，由监护人提出书面休学申请，填写《宁夏中小学生休学、复学申请表》（附件6，以下简称《休学、复学申请表》）并提交有关证明材料(因伤病提出休学的，需经县级以上教育主管部门指定的医疗单位检查并出具证明及相关材料。学生因不可抗拒的原因提出休学的，需出具公安或民政、劳动等有关部门的证明)，学校审核后做休学处理，报教育行政主管部门学籍管理者核准。</w:t>
            </w:r>
            <w:bookmarkEnd w:id="3"/>
            <w:r>
              <w:rPr>
                <w:rFonts w:hint="eastAsia" w:ascii="仿宋" w:hAnsi="仿宋" w:eastAsia="仿宋" w:cs="仿宋"/>
                <w:color w:val="000000"/>
                <w:kern w:val="0"/>
                <w:sz w:val="24"/>
                <w:lang w:val="en-US" w:eastAsia="zh-CN"/>
              </w:rPr>
              <w:t>学生休学情况要记入学生电子档案，医院等出具的有关证明作为《休学、复学申请表》的附件保存备查。学生休学期间，学校应为其保留学籍。休学结束后，由监护人填写《休学、复学申请表》，经学校和教育主管部门核准后复学，并由学校通过电子学籍系统报教育主管部门登记后做复学处理。</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第二十三条 学生在接受义务教育和普通高中教育学习期间，不得随意转学。有下列情形之一的，可以申请转学：</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一、义务教育阶段学生因家庭居住地跨省（区）、市、县迁移（不含同城区内迁移，下同）或普通高中教育阶段学生因家庭居住地跨省（区）、市迁移，且户籍已迁入居住地的，可以转入户籍所在地学校。</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二、进城务工人员务工地发生变化的，其随迁子女可以转入监护人新的务工所在地学校。</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三、学生接受教育期间身体状况发生变化的，在一定范围内，可以由普通学校转入特殊教育学校，也可以由特殊教育学校转入普通学校就读。</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第二十四条 义务教育阶段学生因家庭居住地跨省（区）、市、县迁移且户籍已迁入居住地的，或进城务工人员随迁子女因监护人务工地跨省（区）、市、县发生变化的，可由监护人持户籍迁移证明（进城务工人员务工证明）等相关证明材料向转出学校提出书面转学申请并填写《中小学生转学申请表》（附件7，以下简称《转学申请表》），然后由转入地县级教育行政部门依据有关规定（教育厅直属学校、市直属学校须该校主管部门）统筹安排转入公办学校，转入学校要通过电子学籍系统发起学生转学申请，经转出学校所在地县级教育主管部门（教育厅直属学校、市直管学校须该校主管部门）、转入学校及转入学校所在地县级教育主管部门（教育厅直属学校、市直管学校须该校主管部门）审批后，转学成功。转学成功后，由转入学校以收到的学籍档案为基础对学生接续档案。转出学校应保留电子档案备份，同时保留必要的纸质档案复印件。同时，各县级教育行政部门要按照属地管理原则每学期将辖区内义务教育阶段学生转入、转出情况书面上报当地市级教育行政部门。跨省（区）转入、转出的，还须符合其他相关省份学籍管理有关规定。</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自治区教育厅直属学校、市直管学校义务教育阶段学生的转入转出情况，要按照属地原则由学校每学期书面告知所在地县级教育行政部门。</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跨省转学流程如下：</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一、 学生父母或其他监护人向转入学校提出申请（书面转学申请并填写《宁夏中小学生转学申请表》（附件7），转出到其他省的，要符合转入省教育行政部门的规定）；</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二、由转入地教育行政部门依据当地规定和学校学位空额等情况安排审核；</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三、对于同意接收的，转入学校通过学籍系统发起办理转学手续并核办；</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四、转入学校学籍主管部门在学籍系统中核办；</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五、转出学校在学籍系统中核办；</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六、转出学校学籍主管部门在学籍系统中核办；</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七、转入学校获得其他三方同意信息后，通知学生报到入学；</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八、待学生到转入学校报到后，转入学校通过学籍系统调取学生学籍电子档案（学籍系统同时通知转出学校）；</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九、转出学校按照与家长商定的方式，将学生的纸质学籍档案转出，并通知转入学校。</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申报材料</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1、转学；</w:t>
            </w:r>
            <w:r>
              <w:rPr>
                <w:rFonts w:hint="eastAsia" w:ascii="仿宋" w:hAnsi="仿宋" w:eastAsia="仿宋" w:cs="仿宋"/>
                <w:color w:val="000000"/>
                <w:kern w:val="0"/>
                <w:sz w:val="24"/>
                <w:lang w:eastAsia="zh-CN"/>
              </w:rPr>
              <w:t>外县区：</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一式四份</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本辖区：</w:t>
            </w:r>
            <w:bookmarkStart w:id="4" w:name="OLE_LINK1"/>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bookmarkEnd w:id="4"/>
            <w:r>
              <w:rPr>
                <w:rFonts w:hint="eastAsia" w:ascii="仿宋" w:hAnsi="仿宋" w:eastAsia="仿宋" w:cs="仿宋"/>
                <w:color w:val="000000"/>
                <w:kern w:val="0"/>
                <w:sz w:val="24"/>
                <w:lang w:eastAsia="zh-CN"/>
              </w:rPr>
              <w:t>一式三份</w:t>
            </w:r>
            <w:r>
              <w:rPr>
                <w:rFonts w:hint="eastAsia" w:ascii="仿宋" w:hAnsi="仿宋" w:eastAsia="仿宋" w:cs="仿宋"/>
                <w:color w:val="000000"/>
                <w:kern w:val="0"/>
                <w:sz w:val="24"/>
              </w:rPr>
              <w:t>；</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2、休学</w:t>
            </w:r>
            <w:r>
              <w:rPr>
                <w:rFonts w:hint="eastAsia" w:ascii="仿宋" w:hAnsi="仿宋" w:eastAsia="仿宋" w:cs="仿宋"/>
                <w:color w:val="000000"/>
                <w:kern w:val="0"/>
                <w:sz w:val="24"/>
              </w:rPr>
              <w:t>；</w:t>
            </w:r>
            <w:r>
              <w:rPr>
                <w:rFonts w:hint="eastAsia" w:ascii="仿宋" w:hAnsi="仿宋" w:eastAsia="仿宋" w:cs="仿宋"/>
                <w:color w:val="000000"/>
                <w:kern w:val="0"/>
                <w:sz w:val="24"/>
              </w:rPr>
              <w:sym w:font="Wingdings" w:char="F081"/>
            </w:r>
            <w:bookmarkStart w:id="5" w:name="OLE_LINK2"/>
            <w:r>
              <w:rPr>
                <w:rFonts w:hint="eastAsia" w:ascii="仿宋" w:hAnsi="仿宋" w:eastAsia="仿宋" w:cs="仿宋"/>
                <w:color w:val="000000"/>
                <w:kern w:val="0"/>
                <w:sz w:val="24"/>
                <w:lang w:eastAsia="zh-CN"/>
              </w:rPr>
              <w:t>《休学申请书》</w:t>
            </w:r>
            <w:bookmarkEnd w:id="5"/>
            <w:r>
              <w:rPr>
                <w:rFonts w:hint="eastAsia" w:ascii="仿宋" w:hAnsi="仿宋" w:eastAsia="仿宋" w:cs="仿宋"/>
                <w:color w:val="000000"/>
                <w:kern w:val="0"/>
                <w:sz w:val="24"/>
                <w:lang w:val="en-US" w:eastAsia="zh-CN"/>
              </w:rPr>
              <w:t>1份。</w:t>
            </w:r>
            <w:r>
              <w:rPr>
                <w:rFonts w:hint="eastAsia" w:ascii="仿宋" w:hAnsi="仿宋" w:eastAsia="仿宋" w:cs="仿宋"/>
                <w:color w:val="000000"/>
                <w:kern w:val="0"/>
                <w:sz w:val="24"/>
                <w:lang w:val="en-US" w:eastAsia="zh-CN"/>
              </w:rPr>
              <w:sym w:font="Wingdings" w:char="F082"/>
            </w:r>
            <w:bookmarkStart w:id="6" w:name="OLE_LINK4"/>
            <w:r>
              <w:rPr>
                <w:rFonts w:hint="eastAsia" w:ascii="仿宋" w:hAnsi="仿宋" w:eastAsia="仿宋" w:cs="仿宋"/>
                <w:color w:val="000000"/>
                <w:kern w:val="0"/>
                <w:sz w:val="24"/>
                <w:lang w:val="en-US" w:eastAsia="zh-CN"/>
              </w:rPr>
              <w:t>《休、复学申请书》</w:t>
            </w:r>
            <w:bookmarkEnd w:id="6"/>
            <w:r>
              <w:rPr>
                <w:rFonts w:hint="eastAsia" w:ascii="仿宋" w:hAnsi="仿宋" w:eastAsia="仿宋" w:cs="仿宋"/>
                <w:color w:val="000000"/>
                <w:kern w:val="0"/>
                <w:sz w:val="24"/>
                <w:lang w:val="en-US" w:eastAsia="zh-CN"/>
              </w:rPr>
              <w:t>一式三份。</w:t>
            </w:r>
            <w:r>
              <w:rPr>
                <w:rFonts w:hint="eastAsia" w:ascii="仿宋" w:hAnsi="仿宋" w:eastAsia="仿宋" w:cs="仿宋"/>
                <w:color w:val="000000"/>
                <w:kern w:val="0"/>
                <w:sz w:val="24"/>
                <w:lang w:val="en-US" w:eastAsia="zh-CN"/>
              </w:rPr>
              <w:sym w:font="Wingdings" w:char="F083"/>
            </w:r>
            <w:r>
              <w:rPr>
                <w:rFonts w:hint="eastAsia" w:ascii="仿宋" w:hAnsi="仿宋" w:eastAsia="仿宋" w:cs="仿宋"/>
                <w:color w:val="000000"/>
                <w:kern w:val="0"/>
                <w:sz w:val="24"/>
                <w:lang w:val="en-US" w:eastAsia="zh-CN"/>
              </w:rPr>
              <w:t>医院病历、诊断证明、化验等结果报告、缴费发票（所有票据原件）；</w:t>
            </w:r>
          </w:p>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 xml:space="preserve">   </w:t>
            </w:r>
            <w:bookmarkStart w:id="10" w:name="_GoBack"/>
            <w:bookmarkEnd w:id="10"/>
            <w:r>
              <w:rPr>
                <w:rFonts w:hint="eastAsia" w:ascii="仿宋" w:hAnsi="仿宋" w:eastAsia="仿宋" w:cs="仿宋"/>
                <w:color w:val="000000"/>
                <w:kern w:val="0"/>
                <w:sz w:val="24"/>
                <w:lang w:val="en-US" w:eastAsia="zh-CN"/>
              </w:rPr>
              <w:t>3、复学：</w:t>
            </w:r>
            <w:r>
              <w:rPr>
                <w:rFonts w:hint="eastAsia" w:ascii="仿宋" w:hAnsi="仿宋" w:eastAsia="仿宋" w:cs="仿宋"/>
                <w:color w:val="000000"/>
                <w:kern w:val="0"/>
                <w:sz w:val="24"/>
              </w:rPr>
              <w:sym w:font="Wingdings" w:char="F081"/>
            </w:r>
            <w:bookmarkStart w:id="7" w:name="OLE_LINK3"/>
            <w:r>
              <w:rPr>
                <w:rFonts w:hint="eastAsia" w:ascii="仿宋" w:hAnsi="仿宋" w:eastAsia="仿宋" w:cs="仿宋"/>
                <w:color w:val="000000"/>
                <w:kern w:val="0"/>
                <w:sz w:val="24"/>
                <w:lang w:eastAsia="zh-CN"/>
              </w:rPr>
              <w:t>《复学申请书》</w:t>
            </w:r>
            <w:bookmarkEnd w:id="7"/>
            <w:r>
              <w:rPr>
                <w:rFonts w:hint="eastAsia" w:ascii="仿宋" w:hAnsi="仿宋" w:eastAsia="仿宋" w:cs="仿宋"/>
                <w:color w:val="000000"/>
                <w:kern w:val="0"/>
                <w:sz w:val="24"/>
                <w:lang w:val="en-US" w:eastAsia="zh-CN"/>
              </w:rPr>
              <w:t>1份。</w:t>
            </w:r>
            <w:r>
              <w:rPr>
                <w:rFonts w:hint="eastAsia" w:ascii="仿宋" w:hAnsi="仿宋" w:eastAsia="仿宋" w:cs="仿宋"/>
                <w:color w:val="000000"/>
                <w:kern w:val="0"/>
                <w:sz w:val="24"/>
                <w:lang w:val="en-US" w:eastAsia="zh-CN"/>
              </w:rPr>
              <w:sym w:font="Wingdings" w:char="F082"/>
            </w:r>
            <w:r>
              <w:rPr>
                <w:rFonts w:hint="eastAsia" w:ascii="仿宋" w:hAnsi="仿宋" w:eastAsia="仿宋" w:cs="仿宋"/>
                <w:color w:val="000000"/>
                <w:kern w:val="0"/>
                <w:sz w:val="24"/>
                <w:lang w:val="en-US" w:eastAsia="zh-CN"/>
              </w:rPr>
              <w:t>《休、复学申请书》1份。</w:t>
            </w:r>
            <w:r>
              <w:rPr>
                <w:rFonts w:hint="eastAsia" w:ascii="仿宋" w:hAnsi="仿宋" w:eastAsia="仿宋" w:cs="仿宋"/>
                <w:color w:val="000000"/>
                <w:kern w:val="0"/>
                <w:sz w:val="24"/>
                <w:lang w:val="en-US" w:eastAsia="zh-CN"/>
              </w:rPr>
              <w:sym w:font="Wingdings" w:char="F083"/>
            </w:r>
            <w:r>
              <w:rPr>
                <w:rFonts w:hint="eastAsia" w:ascii="仿宋" w:hAnsi="仿宋" w:eastAsia="仿宋" w:cs="仿宋"/>
                <w:color w:val="000000"/>
                <w:kern w:val="0"/>
                <w:sz w:val="24"/>
                <w:lang w:val="en-US" w:eastAsia="zh-CN"/>
              </w:rPr>
              <w:t>医院病历、诊断证明、化验等结果报告、缴费发票（所有票据原件）；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服务表格</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w:t>
            </w:r>
            <w:bookmarkStart w:id="8" w:name="OLE_LINK9"/>
            <w:r>
              <w:rPr>
                <w:rFonts w:hint="eastAsia" w:ascii="仿宋" w:hAnsi="仿宋" w:eastAsia="仿宋" w:cs="仿宋"/>
                <w:color w:val="000000"/>
                <w:kern w:val="0"/>
                <w:sz w:val="24"/>
                <w:lang w:eastAsia="zh-CN"/>
              </w:rPr>
              <w:t>宁夏中小学生转学申请表</w:t>
            </w:r>
            <w:bookmarkEnd w:id="8"/>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w:t>
            </w:r>
            <w:bookmarkStart w:id="9" w:name="OLE_LINK15"/>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bookmarkEnd w:id="9"/>
            <w:r>
              <w:rPr>
                <w:rFonts w:hint="eastAsia" w:ascii="仿宋" w:hAnsi="仿宋" w:eastAsia="仿宋" w:cs="仿宋"/>
                <w:color w:val="000000"/>
                <w:kern w:val="0"/>
                <w:sz w:val="24"/>
                <w:lang w:eastAsia="zh-CN"/>
              </w:rPr>
              <w:t>、《休学申请书》、《复学申请书》、</w:t>
            </w:r>
            <w:r>
              <w:rPr>
                <w:rFonts w:hint="eastAsia" w:ascii="仿宋" w:hAnsi="仿宋" w:eastAsia="仿宋" w:cs="仿宋"/>
                <w:color w:val="000000"/>
                <w:kern w:val="0"/>
                <w:sz w:val="24"/>
                <w:lang w:val="en-US" w:eastAsia="zh-CN"/>
              </w:rPr>
              <w:t xml:space="preserve">《休、复学申请书》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color w:val="000000"/>
                <w:kern w:val="0"/>
                <w:sz w:val="22"/>
                <w:szCs w:val="22"/>
              </w:rPr>
              <w:t>收费依据和标准</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不收费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法定期限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承诺期限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特殊环节</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事项公示</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宁夏政务服务网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办理地点</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大武口区</w:t>
            </w:r>
            <w:r>
              <w:rPr>
                <w:rFonts w:hint="eastAsia" w:ascii="仿宋" w:hAnsi="仿宋" w:eastAsia="仿宋" w:cs="仿宋"/>
                <w:color w:val="000000"/>
                <w:kern w:val="0"/>
                <w:sz w:val="24"/>
              </w:rPr>
              <w:t>政务服务大厅教育体育局</w:t>
            </w:r>
            <w:r>
              <w:rPr>
                <w:rFonts w:hint="eastAsia" w:ascii="仿宋" w:hAnsi="仿宋" w:eastAsia="仿宋" w:cs="仿宋"/>
                <w:color w:val="000000"/>
                <w:kern w:val="0"/>
                <w:sz w:val="24"/>
                <w:lang w:eastAsia="zh-Hans"/>
              </w:rPr>
              <w:t>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联系电话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Hans"/>
              </w:rPr>
            </w:pPr>
            <w:r>
              <w:rPr>
                <w:rFonts w:hint="eastAsia" w:ascii="仿宋" w:hAnsi="仿宋" w:eastAsia="仿宋" w:cs="仿宋"/>
                <w:color w:val="000000"/>
                <w:kern w:val="0"/>
                <w:sz w:val="24"/>
                <w:lang w:val="en-US" w:eastAsia="zh-CN"/>
              </w:rPr>
              <w:t xml:space="preserve">    0952-2688696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监督电话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0952-2688608、</w:t>
            </w:r>
            <w:r>
              <w:rPr>
                <w:rFonts w:hint="eastAsia" w:ascii="仿宋" w:hAnsi="仿宋" w:eastAsia="仿宋" w:cs="仿宋"/>
                <w:color w:val="000000"/>
                <w:kern w:val="0"/>
                <w:sz w:val="24"/>
                <w:lang w:val="en-US" w:eastAsia="zh-CN"/>
              </w:rPr>
              <w:t>0952-</w:t>
            </w:r>
            <w:r>
              <w:rPr>
                <w:rFonts w:hint="eastAsia" w:ascii="仿宋" w:hAnsi="仿宋" w:eastAsia="仿宋" w:cs="仿宋"/>
                <w:color w:val="000000"/>
                <w:kern w:val="0"/>
                <w:sz w:val="24"/>
              </w:rPr>
              <w:t>2012076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left="0" w:leftChars="0" w:right="0" w:rightChars="0" w:firstLine="0" w:firstLineChars="0"/>
              <w:jc w:val="center"/>
              <w:rPr>
                <w:rFonts w:hint="eastAsia" w:ascii="仿宋" w:hAnsi="仿宋" w:eastAsia="仿宋" w:cs="仿宋"/>
                <w:sz w:val="22"/>
                <w:szCs w:val="22"/>
              </w:rPr>
            </w:pPr>
            <w:r>
              <w:rPr>
                <w:rFonts w:hint="eastAsia" w:ascii="黑体" w:hAnsi="黑体" w:eastAsia="黑体" w:cs="黑体"/>
                <w:sz w:val="22"/>
                <w:szCs w:val="22"/>
              </w:rPr>
              <w:t>办理查询</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val="en-US" w:eastAsia="zh-CN"/>
              </w:rPr>
              <w:t>申请人可通过宁夏政务服务网、大武口区政务服务大厅窗口电话、政务服务微信平台等方式查询政务服务事项的办理进程。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在线办理链接</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4"/>
                <w:lang w:val="en-US" w:eastAsia="zh-CN"/>
              </w:rPr>
            </w:pPr>
          </w:p>
        </w:tc>
      </w:tr>
    </w:tbl>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附件4</w:t>
      </w:r>
    </w:p>
    <w:p>
      <w:pPr>
        <w:autoSpaceDE w:val="0"/>
        <w:autoSpaceDN w:val="0"/>
        <w:adjustRightInd w:val="0"/>
        <w:snapToGrid w:val="0"/>
        <w:spacing w:line="240" w:lineRule="atLeast"/>
        <w:jc w:val="center"/>
        <w:rPr>
          <w:rFonts w:hint="eastAsia" w:ascii="方正小标宋简体" w:hAnsi="方正小标宋简体" w:eastAsia="方正小标宋简体" w:cs="方正小标宋简体"/>
          <w:kern w:val="0"/>
          <w:sz w:val="32"/>
          <w:szCs w:val="32"/>
          <w:lang w:val="zh-CN"/>
        </w:rPr>
      </w:pPr>
      <w:r>
        <w:rPr>
          <w:rFonts w:hint="eastAsia" w:ascii="方正小标宋简体" w:hAnsi="宋体" w:eastAsia="方正小标宋简体" w:cs="宋体"/>
          <w:color w:val="000000"/>
          <w:kern w:val="0"/>
          <w:sz w:val="44"/>
          <w:szCs w:val="44"/>
        </w:rPr>
        <w:t>中小学转学、休学、复学审核</w:t>
      </w:r>
      <w:r>
        <w:rPr>
          <w:rFonts w:hint="eastAsia" w:ascii="方正小标宋简体" w:hAnsi="宋体" w:eastAsia="方正小标宋简体" w:cs="宋体"/>
          <w:kern w:val="0"/>
          <w:sz w:val="44"/>
          <w:szCs w:val="44"/>
        </w:rPr>
        <w:t>办理流程</w:t>
      </w:r>
    </w:p>
    <w:tbl>
      <w:tblPr>
        <w:tblStyle w:val="3"/>
        <w:tblpPr w:leftFromText="180" w:rightFromText="180" w:vertAnchor="text" w:horzAnchor="page" w:tblpX="1635" w:tblpY="44"/>
        <w:tblOverlap w:val="never"/>
        <w:tblW w:w="8660" w:type="dxa"/>
        <w:tblInd w:w="0" w:type="dxa"/>
        <w:tblLayout w:type="fixed"/>
        <w:tblCellMar>
          <w:top w:w="0" w:type="dxa"/>
          <w:left w:w="14" w:type="dxa"/>
          <w:bottom w:w="0" w:type="dxa"/>
          <w:right w:w="14" w:type="dxa"/>
        </w:tblCellMar>
      </w:tblPr>
      <w:tblGrid>
        <w:gridCol w:w="1084"/>
        <w:gridCol w:w="1501"/>
        <w:gridCol w:w="4377"/>
        <w:gridCol w:w="1698"/>
      </w:tblGrid>
      <w:tr>
        <w:tblPrEx>
          <w:tblLayout w:type="fixed"/>
          <w:tblCellMar>
            <w:top w:w="0" w:type="dxa"/>
            <w:left w:w="14" w:type="dxa"/>
            <w:bottom w:w="0" w:type="dxa"/>
            <w:right w:w="14" w:type="dxa"/>
          </w:tblCellMar>
        </w:tblPrEx>
        <w:trPr>
          <w:trHeight w:val="981"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程  序</w:t>
            </w: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color w:val="000000"/>
                <w:kern w:val="0"/>
                <w:sz w:val="24"/>
                <w:lang w:val="zh-CN"/>
              </w:rPr>
            </w:pPr>
            <w:r>
              <w:rPr>
                <w:rFonts w:hint="eastAsia" w:ascii="黑体" w:hAnsi="黑体" w:eastAsia="黑体" w:cs="黑体"/>
                <w:color w:val="000000"/>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及责任人</w:t>
            </w:r>
          </w:p>
        </w:tc>
        <w:tc>
          <w:tcPr>
            <w:tcW w:w="4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工作内容</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办结时限</w:t>
            </w:r>
          </w:p>
        </w:tc>
      </w:tr>
      <w:tr>
        <w:tblPrEx>
          <w:tblLayout w:type="fixed"/>
        </w:tblPrEx>
        <w:trPr>
          <w:trHeight w:val="1237"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kern w:val="0"/>
                <w:sz w:val="24"/>
                <w:lang w:val="en-US" w:eastAsia="zh-CN"/>
              </w:rPr>
            </w:pPr>
            <w:r>
              <w:rPr>
                <w:rFonts w:hint="eastAsia" w:ascii="黑体" w:hAnsi="黑体" w:eastAsia="黑体" w:cs="黑体"/>
                <w:kern w:val="0"/>
                <w:sz w:val="24"/>
                <w:lang w:val="zh-CN"/>
              </w:rPr>
              <w:t>受  理</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kern w:val="0"/>
                <w:sz w:val="24"/>
                <w:lang w:val="zh-CN"/>
              </w:rPr>
            </w:pPr>
            <w:r>
              <w:rPr>
                <w:rFonts w:hint="eastAsia" w:ascii="仿宋" w:hAnsi="仿宋" w:eastAsia="仿宋" w:cs="仿宋"/>
                <w:color w:val="000000"/>
                <w:kern w:val="0"/>
                <w:sz w:val="24"/>
                <w:lang w:eastAsia="zh-CN"/>
              </w:rPr>
              <w:t>原就读学校</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val="zh-CN"/>
              </w:rPr>
              <w:t>外县区：家长带上相关材料（户口本、房产证或租房合同），到原就读学校开具《</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》一式四份并盖章；</w:t>
            </w:r>
          </w:p>
          <w:p>
            <w:pPr>
              <w:adjustRightInd w:val="0"/>
              <w:snapToGrid w:val="0"/>
              <w:spacing w:line="28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本辖区：家长带上相关材料（户口本、房产证或租房合同），到原就读学校开具《</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》一式三份并盖章；</w:t>
            </w:r>
          </w:p>
          <w:p>
            <w:pPr>
              <w:adjustRightInd w:val="0"/>
              <w:snapToGrid w:val="0"/>
              <w:spacing w:line="280" w:lineRule="atLeast"/>
              <w:ind w:firstLine="480" w:firstLineChars="0"/>
              <w:rPr>
                <w:rFonts w:hint="eastAsia" w:ascii="仿宋" w:hAnsi="仿宋" w:eastAsia="仿宋" w:cs="仿宋"/>
                <w:kern w:val="0"/>
                <w:sz w:val="24"/>
                <w:lang w:val="zh-CN"/>
              </w:rPr>
            </w:pPr>
            <w:r>
              <w:rPr>
                <w:rFonts w:hint="eastAsia" w:ascii="仿宋" w:hAnsi="仿宋" w:eastAsia="仿宋" w:cs="仿宋"/>
                <w:color w:val="000000"/>
                <w:kern w:val="0"/>
                <w:sz w:val="24"/>
                <w:lang w:val="zh-CN"/>
              </w:rPr>
              <w:t>休学：由就读学校审核材料，开具《休学申请书》、《休复学申请表》。</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即办</w:t>
            </w:r>
          </w:p>
        </w:tc>
      </w:tr>
      <w:tr>
        <w:tblPrEx>
          <w:tblLayout w:type="fixed"/>
        </w:tblPrEx>
        <w:trPr>
          <w:trHeight w:val="1355" w:hRule="atLeast"/>
        </w:trPr>
        <w:tc>
          <w:tcPr>
            <w:tcW w:w="1084" w:type="dxa"/>
            <w:vMerge w:val="restart"/>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审  查</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sz w:val="24"/>
              </w:rPr>
            </w:pPr>
            <w:r>
              <w:rPr>
                <w:rFonts w:hint="eastAsia" w:ascii="仿宋" w:hAnsi="仿宋" w:eastAsia="仿宋" w:cs="仿宋"/>
                <w:color w:val="000000"/>
                <w:kern w:val="0"/>
                <w:sz w:val="24"/>
                <w:lang w:eastAsia="zh-CN"/>
              </w:rPr>
              <w:t>原就读学校所属教育行政部门</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val="zh-CN"/>
              </w:rPr>
              <w:t>外县区：家长带上相关材料（户口本、房产证或租房合同）；由原就读学校盖章的《</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》到原就读学校</w:t>
            </w:r>
            <w:r>
              <w:rPr>
                <w:rFonts w:hint="eastAsia" w:ascii="仿宋" w:hAnsi="仿宋" w:eastAsia="仿宋" w:cs="仿宋"/>
                <w:color w:val="000000"/>
                <w:kern w:val="0"/>
                <w:sz w:val="24"/>
                <w:lang w:eastAsia="zh-CN"/>
              </w:rPr>
              <w:t>所属教育行政部门盖章；</w:t>
            </w:r>
          </w:p>
          <w:p>
            <w:pPr>
              <w:spacing w:line="36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eastAsia="zh-CN"/>
              </w:rPr>
              <w:t>本辖区：</w:t>
            </w:r>
            <w:r>
              <w:rPr>
                <w:rFonts w:hint="eastAsia" w:ascii="仿宋" w:hAnsi="仿宋" w:eastAsia="仿宋" w:cs="仿宋"/>
                <w:color w:val="000000"/>
                <w:kern w:val="0"/>
                <w:sz w:val="24"/>
                <w:lang w:val="zh-CN"/>
              </w:rPr>
              <w:t>家长带上相关材料（户口本、房产证或租房合同）由原就读学校和转入学校盖章的</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到所属教育行政部门盖章；</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即办</w:t>
            </w:r>
          </w:p>
        </w:tc>
      </w:tr>
      <w:tr>
        <w:tblPrEx>
          <w:tblLayout w:type="fixed"/>
          <w:tblCellMar>
            <w:top w:w="0" w:type="dxa"/>
            <w:left w:w="14" w:type="dxa"/>
            <w:bottom w:w="0" w:type="dxa"/>
            <w:right w:w="14" w:type="dxa"/>
          </w:tblCellMar>
        </w:tblPrEx>
        <w:trPr>
          <w:trHeight w:val="1355" w:hRule="atLeast"/>
        </w:trPr>
        <w:tc>
          <w:tcPr>
            <w:tcW w:w="1084" w:type="dxa"/>
            <w:vMerge w:val="continue"/>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jc w:val="center"/>
              <w:rPr>
                <w:rFonts w:hint="eastAsia" w:ascii="仿宋" w:hAnsi="仿宋" w:eastAsia="仿宋" w:cs="仿宋"/>
                <w:sz w:val="24"/>
              </w:rPr>
            </w:pPr>
            <w:r>
              <w:rPr>
                <w:rFonts w:hint="eastAsia" w:ascii="仿宋" w:hAnsi="仿宋" w:eastAsia="仿宋" w:cs="仿宋"/>
                <w:color w:val="000000"/>
                <w:kern w:val="0"/>
                <w:sz w:val="24"/>
                <w:lang w:eastAsia="zh-CN"/>
              </w:rPr>
              <w:t>转入学校</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外县区：家长带上相关材料（户口本、房产证或租房合同）；由原就读学校和原就读学校所属教育行政部门盖章后的《</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》到转入学校盖章；</w:t>
            </w:r>
          </w:p>
          <w:p>
            <w:pPr>
              <w:spacing w:line="360" w:lineRule="exact"/>
              <w:ind w:firstLine="480" w:firstLineChars="200"/>
              <w:jc w:val="left"/>
              <w:rPr>
                <w:rFonts w:hint="eastAsia" w:ascii="仿宋" w:hAnsi="仿宋" w:eastAsia="仿宋" w:cs="仿宋"/>
                <w:sz w:val="24"/>
              </w:rPr>
            </w:pPr>
            <w:r>
              <w:rPr>
                <w:rFonts w:hint="eastAsia" w:ascii="仿宋" w:hAnsi="仿宋" w:eastAsia="仿宋" w:cs="仿宋"/>
                <w:color w:val="000000"/>
                <w:kern w:val="0"/>
                <w:sz w:val="24"/>
                <w:lang w:eastAsia="zh-CN"/>
              </w:rPr>
              <w:t>本辖区：</w:t>
            </w:r>
            <w:r>
              <w:rPr>
                <w:rFonts w:hint="eastAsia" w:ascii="仿宋" w:hAnsi="仿宋" w:eastAsia="仿宋" w:cs="仿宋"/>
                <w:color w:val="000000"/>
                <w:kern w:val="0"/>
                <w:sz w:val="24"/>
                <w:lang w:val="zh-CN"/>
              </w:rPr>
              <w:t>家长带上相关材料（户口本、房产证或租房合同）；由原学校盖章的</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到转入学校盖章；</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即办</w:t>
            </w:r>
          </w:p>
        </w:tc>
      </w:tr>
      <w:tr>
        <w:tblPrEx>
          <w:tblLayout w:type="fixed"/>
          <w:tblCellMar>
            <w:top w:w="0" w:type="dxa"/>
            <w:left w:w="14" w:type="dxa"/>
            <w:bottom w:w="0" w:type="dxa"/>
            <w:right w:w="14" w:type="dxa"/>
          </w:tblCellMar>
        </w:tblPrEx>
        <w:trPr>
          <w:trHeight w:val="1256"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决  定</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lang w:val="zh-CN"/>
              </w:rPr>
              <w:t>大武口区</w:t>
            </w:r>
          </w:p>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rPr>
              <w:t>政务服务</w:t>
            </w:r>
          </w:p>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rPr>
              <w:t>大厅窗口</w:t>
            </w:r>
          </w:p>
          <w:p>
            <w:pPr>
              <w:adjustRightInd w:val="0"/>
              <w:snapToGrid w:val="0"/>
              <w:spacing w:line="280" w:lineRule="atLeast"/>
              <w:jc w:val="center"/>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王雪</w:t>
            </w:r>
            <w:r>
              <w:rPr>
                <w:rFonts w:hint="eastAsia" w:ascii="仿宋" w:hAnsi="仿宋" w:eastAsia="仿宋" w:cs="仿宋"/>
                <w:color w:val="000000"/>
                <w:kern w:val="0"/>
                <w:sz w:val="24"/>
                <w:lang w:val="en-US" w:eastAsia="zh-CN"/>
              </w:rPr>
              <w:t>18995290286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left"/>
              <w:rPr>
                <w:rFonts w:hint="eastAsia" w:ascii="仿宋" w:hAnsi="仿宋" w:eastAsia="仿宋" w:cs="仿宋"/>
                <w:color w:val="000000"/>
                <w:kern w:val="0"/>
                <w:sz w:val="24"/>
                <w:lang w:val="zh-CN"/>
              </w:rPr>
            </w:pPr>
            <w:r>
              <w:rPr>
                <w:rFonts w:hint="eastAsia" w:ascii="仿宋" w:hAnsi="仿宋" w:eastAsia="仿宋"/>
                <w:color w:val="000000"/>
                <w:sz w:val="24"/>
              </w:rPr>
              <w:t xml:space="preserve"> </w:t>
            </w:r>
            <w:r>
              <w:rPr>
                <w:rFonts w:hint="eastAsia" w:ascii="仿宋" w:hAnsi="仿宋" w:eastAsia="仿宋" w:cs="仿宋"/>
                <w:color w:val="000000"/>
                <w:kern w:val="0"/>
                <w:sz w:val="24"/>
                <w:lang w:val="zh-CN"/>
              </w:rPr>
              <w:t>外县区：家长带上相关材料（户口本、房产证或租房合同）；由原就读学校和原就读学校所属教育行政部门、转入学校盖章后的《</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》到大武口区</w:t>
            </w:r>
            <w:r>
              <w:rPr>
                <w:rFonts w:hint="eastAsia" w:ascii="仿宋" w:hAnsi="仿宋" w:eastAsia="仿宋" w:cs="仿宋"/>
                <w:color w:val="000000"/>
                <w:kern w:val="0"/>
                <w:sz w:val="24"/>
              </w:rPr>
              <w:t>政务服务大厅窗口</w:t>
            </w:r>
            <w:r>
              <w:rPr>
                <w:rFonts w:hint="eastAsia" w:ascii="仿宋" w:hAnsi="仿宋" w:eastAsia="仿宋" w:cs="仿宋"/>
                <w:color w:val="000000"/>
                <w:kern w:val="0"/>
                <w:sz w:val="24"/>
                <w:lang w:val="zh-CN"/>
              </w:rPr>
              <w:t>盖章；</w:t>
            </w:r>
          </w:p>
          <w:p>
            <w:pPr>
              <w:spacing w:line="360" w:lineRule="exact"/>
              <w:ind w:firstLine="480" w:firstLineChars="200"/>
              <w:jc w:val="left"/>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本辖区：</w:t>
            </w:r>
            <w:r>
              <w:rPr>
                <w:rFonts w:hint="eastAsia" w:ascii="仿宋" w:hAnsi="仿宋" w:eastAsia="仿宋" w:cs="仿宋"/>
                <w:color w:val="000000"/>
                <w:kern w:val="0"/>
                <w:sz w:val="24"/>
                <w:lang w:val="zh-CN"/>
              </w:rPr>
              <w:t>家长带上相关材料（户口本、房产证或租房合同）；由原学校和转入学校盖章的</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到</w:t>
            </w:r>
            <w:r>
              <w:rPr>
                <w:rFonts w:hint="eastAsia" w:ascii="仿宋" w:hAnsi="仿宋" w:eastAsia="仿宋" w:cs="仿宋"/>
                <w:color w:val="000000"/>
                <w:kern w:val="0"/>
                <w:sz w:val="24"/>
                <w:lang w:val="zh-CN"/>
              </w:rPr>
              <w:t>大武口区</w:t>
            </w:r>
            <w:r>
              <w:rPr>
                <w:rFonts w:hint="eastAsia" w:ascii="仿宋" w:hAnsi="仿宋" w:eastAsia="仿宋" w:cs="仿宋"/>
                <w:color w:val="000000"/>
                <w:kern w:val="0"/>
                <w:sz w:val="24"/>
              </w:rPr>
              <w:t>政务服务大厅窗口</w:t>
            </w:r>
            <w:r>
              <w:rPr>
                <w:rFonts w:hint="eastAsia" w:ascii="仿宋" w:hAnsi="仿宋" w:eastAsia="仿宋" w:cs="仿宋"/>
                <w:color w:val="000000"/>
                <w:kern w:val="0"/>
                <w:sz w:val="24"/>
                <w:lang w:val="zh-CN"/>
              </w:rPr>
              <w:t>盖章</w:t>
            </w:r>
            <w:r>
              <w:rPr>
                <w:rFonts w:hint="eastAsia" w:ascii="仿宋" w:hAnsi="仿宋" w:eastAsia="仿宋" w:cs="仿宋"/>
                <w:color w:val="000000"/>
                <w:kern w:val="0"/>
                <w:sz w:val="24"/>
                <w:lang w:eastAsia="zh-CN"/>
              </w:rPr>
              <w:t>；</w:t>
            </w:r>
          </w:p>
          <w:p>
            <w:pPr>
              <w:adjustRightInd w:val="0"/>
              <w:snapToGrid w:val="0"/>
              <w:spacing w:line="28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lang w:val="en-US" w:eastAsia="zh-CN"/>
              </w:rPr>
              <w:t xml:space="preserve">    休学：家长携带休学相关材料到</w:t>
            </w:r>
            <w:r>
              <w:rPr>
                <w:rFonts w:hint="eastAsia" w:ascii="仿宋" w:hAnsi="仿宋" w:eastAsia="仿宋" w:cs="仿宋"/>
                <w:color w:val="000000"/>
                <w:kern w:val="0"/>
                <w:sz w:val="24"/>
              </w:rPr>
              <w:t>政务服务大厅</w:t>
            </w:r>
            <w:r>
              <w:rPr>
                <w:rFonts w:hint="eastAsia" w:ascii="仿宋" w:hAnsi="仿宋" w:eastAsia="仿宋" w:cs="仿宋"/>
                <w:color w:val="000000"/>
                <w:kern w:val="0"/>
                <w:sz w:val="24"/>
                <w:lang w:eastAsia="zh-CN"/>
              </w:rPr>
              <w:t>教育局</w:t>
            </w:r>
            <w:r>
              <w:rPr>
                <w:rFonts w:hint="eastAsia" w:ascii="仿宋" w:hAnsi="仿宋" w:eastAsia="仿宋" w:cs="仿宋"/>
                <w:color w:val="000000"/>
                <w:kern w:val="0"/>
                <w:sz w:val="24"/>
              </w:rPr>
              <w:t>窗口</w:t>
            </w:r>
            <w:r>
              <w:rPr>
                <w:rFonts w:hint="eastAsia" w:ascii="仿宋" w:hAnsi="仿宋" w:eastAsia="仿宋" w:cs="仿宋"/>
                <w:color w:val="000000"/>
                <w:kern w:val="0"/>
                <w:sz w:val="24"/>
                <w:lang w:eastAsia="zh-CN"/>
              </w:rPr>
              <w:t>办理相关手续。</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即办</w:t>
            </w:r>
          </w:p>
        </w:tc>
      </w:tr>
      <w:tr>
        <w:tblPrEx>
          <w:tblLayout w:type="fixed"/>
          <w:tblCellMar>
            <w:top w:w="0" w:type="dxa"/>
            <w:left w:w="14" w:type="dxa"/>
            <w:bottom w:w="0" w:type="dxa"/>
            <w:right w:w="14" w:type="dxa"/>
          </w:tblCellMar>
        </w:tblPrEx>
        <w:trPr>
          <w:trHeight w:val="1110"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kern w:val="0"/>
                <w:sz w:val="24"/>
                <w:lang w:val="zh-CN"/>
              </w:rPr>
              <w:t>送  达</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rPr>
              <w:t>政务服务</w:t>
            </w:r>
          </w:p>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rPr>
              <w:t>大厅窗口</w:t>
            </w:r>
          </w:p>
          <w:p>
            <w:pPr>
              <w:adjustRightInd w:val="0"/>
              <w:snapToGrid w:val="0"/>
              <w:spacing w:line="280" w:lineRule="atLeast"/>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王</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eastAsia="zh-CN"/>
              </w:rPr>
              <w:t>雪</w:t>
            </w: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ind w:firstLine="480" w:firstLineChars="0"/>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对《</w:t>
            </w:r>
            <w:r>
              <w:rPr>
                <w:rFonts w:hint="eastAsia" w:ascii="仿宋" w:hAnsi="仿宋" w:eastAsia="仿宋" w:cs="仿宋"/>
                <w:color w:val="000000"/>
                <w:kern w:val="0"/>
                <w:sz w:val="24"/>
                <w:lang w:eastAsia="zh-CN"/>
              </w:rPr>
              <w:t>宁夏中小学生转学申请表</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义务教育阶段学生转学申请表</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盖章结束后、休学办理完成后出具《办结通知书》；对不批准申请的出具《不予批准通知书》。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kern w:val="0"/>
                <w:sz w:val="24"/>
                <w:lang w:val="zh-CN"/>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即办 </w:t>
            </w:r>
          </w:p>
        </w:tc>
      </w:tr>
      <w:tr>
        <w:tblPrEx>
          <w:tblLayout w:type="fixed"/>
          <w:tblCellMar>
            <w:top w:w="0" w:type="dxa"/>
            <w:left w:w="14" w:type="dxa"/>
            <w:bottom w:w="0" w:type="dxa"/>
            <w:right w:w="14" w:type="dxa"/>
          </w:tblCellMar>
        </w:tblPrEx>
        <w:trPr>
          <w:trHeight w:val="1392" w:hRule="atLeast"/>
        </w:trPr>
        <w:tc>
          <w:tcPr>
            <w:tcW w:w="1084" w:type="dxa"/>
            <w:tcBorders>
              <w:top w:val="single" w:color="auto" w:sz="4" w:space="0"/>
              <w:left w:val="single" w:color="000000" w:sz="2" w:space="0"/>
              <w:bottom w:val="single" w:color="000000" w:sz="2"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备  注</w:t>
            </w:r>
          </w:p>
        </w:tc>
        <w:tc>
          <w:tcPr>
            <w:tcW w:w="7576" w:type="dxa"/>
            <w:gridSpan w:val="3"/>
            <w:tcBorders>
              <w:top w:val="single" w:color="auto" w:sz="4" w:space="0"/>
              <w:left w:val="single" w:color="auto" w:sz="4" w:space="0"/>
              <w:bottom w:val="single" w:color="000000" w:sz="2" w:space="0"/>
              <w:right w:val="single" w:color="000000" w:sz="2" w:space="0"/>
            </w:tcBorders>
            <w:vAlign w:val="center"/>
          </w:tcPr>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法定办理期限为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个工作日，承诺办理期限为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w:t>
            </w:r>
          </w:p>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注：1.每项公共服务事项均按照实际办理情况，按程序以此填入本表。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2.“办理时限“是指每一个环节所用时限，承诺办理期限是指本事项办理的总时限。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3.本表与附件3配套使用。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0059B"/>
    <w:rsid w:val="0BD0059B"/>
    <w:rsid w:val="0D6154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2016-11-03T09:18:00Z</dcterms:created>
  <dc:creator>Administrator</dc:creator>
  <cp:lastModifiedBy>Administrator</cp:lastModifiedBy>
  <dcterms:modified xsi:type="dcterms:W3CDTF">2016-11-03T09:56:51Z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