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40" w:lineRule="atLeast"/>
        <w:jc w:val="both"/>
        <w:rPr>
          <w:rFonts w:hint="eastAsia" w:ascii="方正小标宋简体" w:hAnsi="宋体" w:eastAsia="方正小标宋简体" w:cs="宋体"/>
          <w:kern w:val="0"/>
          <w:sz w:val="44"/>
          <w:szCs w:val="44"/>
          <w:lang w:val="en-US" w:eastAsia="zh-CN"/>
        </w:rPr>
      </w:pPr>
      <w:r>
        <w:rPr>
          <w:rFonts w:hint="eastAsia" w:ascii="仿宋" w:hAnsi="仿宋" w:eastAsia="仿宋" w:cs="仿宋"/>
          <w:kern w:val="0"/>
          <w:sz w:val="28"/>
          <w:szCs w:val="28"/>
          <w:lang w:val="en-US" w:eastAsia="zh-CN"/>
        </w:rPr>
        <w:t>附件3</w:t>
      </w:r>
    </w:p>
    <w:p>
      <w:pPr>
        <w:widowControl/>
        <w:adjustRightInd w:val="0"/>
        <w:snapToGrid w:val="0"/>
        <w:spacing w:line="240" w:lineRule="atLeast"/>
        <w:jc w:val="center"/>
        <w:rPr>
          <w:rFonts w:hint="eastAsia"/>
        </w:rPr>
      </w:pPr>
      <w:r>
        <w:rPr>
          <w:rFonts w:hint="eastAsia" w:ascii="方正小标宋简体" w:hAnsi="宋体" w:eastAsia="方正小标宋简体" w:cs="宋体"/>
          <w:kern w:val="0"/>
          <w:sz w:val="44"/>
          <w:szCs w:val="44"/>
          <w:lang w:eastAsia="zh-CN"/>
        </w:rPr>
        <w:t>民办非学历教育机构修改章程备案</w:t>
      </w:r>
      <w:r>
        <w:rPr>
          <w:rFonts w:hint="eastAsia" w:ascii="方正小标宋简体" w:hAnsi="宋体" w:eastAsia="方正小标宋简体" w:cs="宋体"/>
          <w:kern w:val="0"/>
          <w:sz w:val="44"/>
          <w:szCs w:val="44"/>
        </w:rPr>
        <w:t>信息表</w:t>
      </w:r>
    </w:p>
    <w:tbl>
      <w:tblPr>
        <w:tblStyle w:val="4"/>
        <w:tblpPr w:leftFromText="180" w:rightFromText="180" w:vertAnchor="text" w:horzAnchor="page" w:tblpX="1882" w:tblpY="259"/>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事项名称</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民办非学历教育机构修改章程的备案</w:t>
            </w:r>
          </w:p>
          <w:p>
            <w:pPr>
              <w:widowControl/>
              <w:adjustRightInd w:val="0"/>
              <w:snapToGrid w:val="0"/>
              <w:spacing w:line="360" w:lineRule="atLeast"/>
              <w:jc w:val="left"/>
              <w:rPr>
                <w:rFonts w:hint="eastAsia" w:ascii="仿宋" w:hAnsi="仿宋" w:eastAsia="仿宋" w:cs="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bookmarkStart w:id="0" w:name="_GoBack" w:colFirst="1" w:colLast="1"/>
            <w:r>
              <w:rPr>
                <w:rFonts w:hint="eastAsia" w:ascii="黑体" w:hAnsi="黑体" w:eastAsia="黑体" w:cs="黑体"/>
                <w:kern w:val="0"/>
                <w:sz w:val="22"/>
                <w:szCs w:val="22"/>
              </w:rPr>
              <w:t>事项编码</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（事项编码不需要填写）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val="en-US" w:eastAsia="zh-CN"/>
              </w:rPr>
            </w:pPr>
            <w:r>
              <w:rPr>
                <w:rFonts w:hint="eastAsia" w:ascii="黑体" w:hAnsi="黑体" w:eastAsia="黑体" w:cs="黑体"/>
                <w:kern w:val="0"/>
                <w:sz w:val="22"/>
                <w:szCs w:val="22"/>
                <w:lang w:val="en-US" w:eastAsia="zh-CN"/>
              </w:rPr>
              <w:t>事项类别</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法律和信息查询类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职权类型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其他类别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办理类型</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是否纳入</w:t>
            </w:r>
          </w:p>
          <w:p>
            <w:pPr>
              <w:widowControl/>
              <w:adjustRightInd w:val="0"/>
              <w:snapToGrid w:val="0"/>
              <w:spacing w:line="360" w:lineRule="atLeast"/>
              <w:jc w:val="center"/>
              <w:rPr>
                <w:rFonts w:hint="eastAsia" w:ascii="黑体" w:hAnsi="黑体" w:eastAsia="黑体" w:cs="黑体"/>
                <w:kern w:val="0"/>
                <w:sz w:val="22"/>
                <w:szCs w:val="22"/>
                <w:lang w:eastAsia="zh-CN"/>
              </w:rPr>
            </w:pPr>
            <w:r>
              <w:rPr>
                <w:rFonts w:hint="eastAsia" w:ascii="黑体" w:hAnsi="黑体" w:eastAsia="黑体" w:cs="黑体"/>
                <w:kern w:val="0"/>
                <w:sz w:val="22"/>
                <w:szCs w:val="22"/>
                <w:lang w:eastAsia="zh-CN"/>
              </w:rPr>
              <w:t>政府购买服务</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申请主体</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持有《民办学校办学许可证》的民办非学历教育机构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申请条件</w:t>
            </w:r>
          </w:p>
        </w:tc>
        <w:tc>
          <w:tcPr>
            <w:tcW w:w="6225" w:type="dxa"/>
            <w:tcBorders>
              <w:top w:val="single" w:color="auto" w:sz="4" w:space="0"/>
              <w:left w:val="single" w:color="auto" w:sz="4" w:space="0"/>
              <w:bottom w:val="single" w:color="auto" w:sz="4" w:space="0"/>
              <w:right w:val="single" w:color="auto" w:sz="4" w:space="0"/>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0" w:beforeAutospacing="0" w:after="300" w:afterAutospacing="0" w:line="378" w:lineRule="atLeast"/>
              <w:ind w:right="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持有《民办学校办学许可证》的民办非学历教育机构</w:t>
            </w:r>
          </w:p>
          <w:p>
            <w:pPr>
              <w:widowControl/>
              <w:adjustRightInd w:val="0"/>
              <w:snapToGrid w:val="0"/>
              <w:spacing w:line="360" w:lineRule="atLeast"/>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数量限制</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lang w:eastAsia="zh-CN"/>
              </w:rPr>
              <w:t>设定</w:t>
            </w:r>
            <w:r>
              <w:rPr>
                <w:rFonts w:hint="eastAsia" w:ascii="黑体" w:hAnsi="黑体" w:eastAsia="黑体" w:cs="黑体"/>
                <w:kern w:val="0"/>
                <w:sz w:val="22"/>
                <w:szCs w:val="22"/>
              </w:rPr>
              <w:t>依据</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【行政法规】《中华人民共和国民办教育促进法实施条例》（2004年国务院令第399号）</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w:t>
            </w:r>
            <w:r>
              <w:rPr>
                <w:rFonts w:hint="default" w:ascii="仿宋" w:hAnsi="仿宋" w:eastAsia="仿宋" w:cs="仿宋"/>
                <w:color w:val="auto"/>
                <w:kern w:val="0"/>
                <w:sz w:val="24"/>
                <w:szCs w:val="24"/>
                <w:lang w:val="en-US" w:eastAsia="zh-CN" w:bidi="ar-SA"/>
              </w:rPr>
              <w:t>第十四条 民办学校的章程应当规定下列主要事项：</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（一）学校的名称、地址；</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（二）办学宗旨、规模、层次、形式等；</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（三）学校资产的数额、来源、性质等；</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（四）理事会、董事会或者其他形式决策机构的产生方法、人员构成、任期、议事规则等；</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（五）学校的法定代表人；</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（六）出资人是否要求取得合理回报；</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（七）学校自行终止的事由；</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（八）章程修改程序。</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第二十条 民办学校的理事会、董事会或者其他形式决策机构，每年至少召开一次会议。经1／3以上组成人员提议，可以召开理事会、董事会或者其他形式决策机构临时会议。</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民办学校的理事会、董事会或者其他形式决策机构讨论下列重大事项，应当经2／3以上组成人员同意方可通过：</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（一）聘任、解聘校长；</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（二）修改学校章程；</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（三）制定发展规划；</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（四）审核预算、决算；</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（五）决定学校的分立、合并、终止；</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（六）学校章程规定的其他重大事项。</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t>民办学校修改章程应当报审批机关备案，由审批机关向社会公告。</w:t>
            </w:r>
          </w:p>
          <w:p>
            <w:pPr>
              <w:widowControl/>
              <w:adjustRightInd w:val="0"/>
              <w:snapToGrid w:val="0"/>
              <w:spacing w:line="360" w:lineRule="atLeast"/>
              <w:ind w:firstLine="480" w:firstLineChars="200"/>
              <w:jc w:val="left"/>
              <w:rPr>
                <w:rFonts w:hint="default" w:ascii="仿宋" w:hAnsi="仿宋" w:eastAsia="仿宋" w:cs="仿宋"/>
                <w:color w:val="auto"/>
                <w:kern w:val="0"/>
                <w:sz w:val="24"/>
                <w:szCs w:val="24"/>
                <w:lang w:val="en-US" w:eastAsia="zh-CN" w:bidi="ar-SA"/>
              </w:rPr>
            </w:pP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申报材料</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民办非学历教育机构提出修订学校章程的申请。</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民办非学历教育机构理事会或董事会决议。</w:t>
            </w:r>
          </w:p>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3、修改的章程。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服务表格</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color w:val="000000"/>
                <w:kern w:val="0"/>
                <w:sz w:val="22"/>
                <w:szCs w:val="22"/>
              </w:rPr>
              <w:t>收费依据和标准</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法定期限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承诺期限</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特殊环节</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事项公示</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宁夏政务服务网、大武口区政府网、大武口区教育体育局网站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办理地点</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大武口区教育体育局基教室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联系电话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Hans" w:bidi="ar-SA"/>
              </w:rPr>
            </w:pPr>
            <w:r>
              <w:rPr>
                <w:rFonts w:hint="eastAsia" w:ascii="仿宋" w:hAnsi="仿宋" w:eastAsia="仿宋" w:cs="仿宋"/>
                <w:color w:val="auto"/>
                <w:kern w:val="0"/>
                <w:sz w:val="24"/>
                <w:szCs w:val="24"/>
                <w:lang w:val="en-US" w:eastAsia="zh-CN" w:bidi="ar-SA"/>
              </w:rPr>
              <w:t xml:space="preserve">    2012350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监督电话</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局办公室：2013063   纪检组：2029673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left="0" w:leftChars="0" w:right="0" w:rightChars="0" w:firstLine="0" w:firstLineChars="0"/>
              <w:jc w:val="center"/>
              <w:rPr>
                <w:rFonts w:hint="eastAsia" w:ascii="仿宋" w:hAnsi="仿宋" w:eastAsia="仿宋" w:cs="仿宋"/>
                <w:sz w:val="22"/>
                <w:szCs w:val="22"/>
              </w:rPr>
            </w:pPr>
            <w:r>
              <w:rPr>
                <w:rFonts w:hint="eastAsia" w:ascii="黑体" w:hAnsi="黑体" w:eastAsia="黑体" w:cs="黑体"/>
                <w:sz w:val="22"/>
                <w:szCs w:val="22"/>
              </w:rPr>
              <w:t>办理查询</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ind w:firstLine="480" w:firstLineChars="200"/>
              <w:jc w:val="left"/>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 xml:space="preserve">     申请人可通过宁夏政务服务网、石嘴山市政务服务大厅窗口电话、大武口区教育体育局基教室电话等方式查询公共服务事项的办理进程。</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center"/>
              <w:rPr>
                <w:rFonts w:hint="eastAsia" w:ascii="黑体" w:hAnsi="黑体" w:eastAsia="黑体" w:cs="黑体"/>
                <w:kern w:val="0"/>
                <w:sz w:val="22"/>
                <w:szCs w:val="22"/>
              </w:rPr>
            </w:pPr>
            <w:r>
              <w:rPr>
                <w:rFonts w:hint="eastAsia" w:ascii="黑体" w:hAnsi="黑体" w:eastAsia="黑体" w:cs="黑体"/>
                <w:kern w:val="0"/>
                <w:sz w:val="22"/>
                <w:szCs w:val="22"/>
              </w:rPr>
              <w:t>在线办理链接</w:t>
            </w:r>
          </w:p>
        </w:tc>
        <w:tc>
          <w:tcPr>
            <w:tcW w:w="622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tLeast"/>
              <w:jc w:val="left"/>
              <w:rPr>
                <w:rFonts w:hint="eastAsia" w:ascii="仿宋" w:hAnsi="仿宋" w:eastAsia="仿宋" w:cs="仿宋"/>
                <w:color w:val="000000"/>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ascii="仿宋" w:hAnsi="仿宋" w:eastAsia="仿宋" w:cs="仿宋"/>
          <w:sz w:val="22"/>
          <w:szCs w:val="22"/>
          <w:lang w:val="en-US" w:eastAsia="zh-CN"/>
        </w:rPr>
      </w:pPr>
    </w:p>
    <w:p>
      <w:pPr>
        <w:autoSpaceDE w:val="0"/>
        <w:autoSpaceDN w:val="0"/>
        <w:adjustRightInd w:val="0"/>
        <w:snapToGrid w:val="0"/>
        <w:spacing w:line="240" w:lineRule="atLeas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附件4</w:t>
      </w:r>
    </w:p>
    <w:p>
      <w:pPr>
        <w:autoSpaceDE w:val="0"/>
        <w:autoSpaceDN w:val="0"/>
        <w:adjustRightInd w:val="0"/>
        <w:snapToGrid w:val="0"/>
        <w:spacing w:line="240" w:lineRule="atLeast"/>
        <w:jc w:val="center"/>
        <w:rPr>
          <w:rFonts w:hint="eastAsia" w:ascii="方正小标宋简体" w:hAnsi="方正小标宋简体" w:eastAsia="方正小标宋简体" w:cs="方正小标宋简体"/>
          <w:kern w:val="0"/>
          <w:sz w:val="32"/>
          <w:szCs w:val="32"/>
          <w:lang w:val="zh-CN"/>
        </w:rPr>
      </w:pPr>
      <w:r>
        <w:rPr>
          <w:rFonts w:hint="eastAsia" w:ascii="方正小标宋简体" w:hAnsi="宋体" w:eastAsia="方正小标宋简体" w:cs="宋体"/>
          <w:kern w:val="0"/>
          <w:sz w:val="44"/>
          <w:szCs w:val="44"/>
          <w:lang w:val="en-US" w:eastAsia="zh-CN"/>
        </w:rPr>
        <w:t>xxx</w:t>
      </w:r>
      <w:r>
        <w:rPr>
          <w:rFonts w:hint="eastAsia" w:ascii="方正小标宋简体" w:hAnsi="宋体" w:eastAsia="方正小标宋简体" w:cs="宋体"/>
          <w:kern w:val="0"/>
          <w:sz w:val="44"/>
          <w:szCs w:val="44"/>
        </w:rPr>
        <w:t>办理流程</w:t>
      </w:r>
    </w:p>
    <w:tbl>
      <w:tblPr>
        <w:tblStyle w:val="4"/>
        <w:tblpPr w:leftFromText="180" w:rightFromText="180" w:vertAnchor="text" w:horzAnchor="page" w:tblpX="1635" w:tblpY="44"/>
        <w:tblOverlap w:val="never"/>
        <w:tblW w:w="8660" w:type="dxa"/>
        <w:tblInd w:w="0" w:type="dxa"/>
        <w:tblLayout w:type="fixed"/>
        <w:tblCellMar>
          <w:top w:w="0" w:type="dxa"/>
          <w:left w:w="14" w:type="dxa"/>
          <w:bottom w:w="0" w:type="dxa"/>
          <w:right w:w="14" w:type="dxa"/>
        </w:tblCellMar>
      </w:tblPr>
      <w:tblGrid>
        <w:gridCol w:w="1084"/>
        <w:gridCol w:w="1501"/>
        <w:gridCol w:w="4377"/>
        <w:gridCol w:w="1698"/>
      </w:tblGrid>
      <w:tr>
        <w:tblPrEx>
          <w:tblLayout w:type="fixed"/>
          <w:tblCellMar>
            <w:top w:w="0" w:type="dxa"/>
            <w:left w:w="14" w:type="dxa"/>
            <w:bottom w:w="0" w:type="dxa"/>
            <w:right w:w="14" w:type="dxa"/>
          </w:tblCellMar>
        </w:tblPrEx>
        <w:trPr>
          <w:trHeight w:val="981"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程  序</w:t>
            </w:r>
          </w:p>
        </w:tc>
        <w:tc>
          <w:tcPr>
            <w:tcW w:w="150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color w:val="000000"/>
                <w:kern w:val="0"/>
                <w:sz w:val="24"/>
                <w:lang w:val="zh-CN"/>
              </w:rPr>
            </w:pPr>
            <w:r>
              <w:rPr>
                <w:rFonts w:hint="eastAsia" w:ascii="黑体" w:hAnsi="黑体" w:eastAsia="黑体" w:cs="黑体"/>
                <w:color w:val="000000"/>
                <w:kern w:val="0"/>
                <w:sz w:val="24"/>
                <w:lang w:val="zh-CN"/>
              </w:rPr>
              <w:t>责任单位</w:t>
            </w:r>
          </w:p>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及责任人</w:t>
            </w:r>
          </w:p>
        </w:tc>
        <w:tc>
          <w:tcPr>
            <w:tcW w:w="43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工作内容</w:t>
            </w:r>
          </w:p>
        </w:tc>
        <w:tc>
          <w:tcPr>
            <w:tcW w:w="16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办结时限</w:t>
            </w:r>
          </w:p>
        </w:tc>
      </w:tr>
      <w:tr>
        <w:tblPrEx>
          <w:tblLayout w:type="fixed"/>
          <w:tblCellMar>
            <w:top w:w="0" w:type="dxa"/>
            <w:left w:w="14" w:type="dxa"/>
            <w:bottom w:w="0" w:type="dxa"/>
            <w:right w:w="14" w:type="dxa"/>
          </w:tblCellMar>
        </w:tblPrEx>
        <w:trPr>
          <w:trHeight w:val="1237"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en-US" w:eastAsia="zh-CN"/>
              </w:rPr>
            </w:pPr>
            <w:r>
              <w:rPr>
                <w:rFonts w:hint="eastAsia" w:ascii="黑体" w:hAnsi="黑体" w:eastAsia="黑体" w:cs="黑体"/>
                <w:color w:val="auto"/>
                <w:kern w:val="0"/>
                <w:sz w:val="24"/>
                <w:lang w:val="zh-CN"/>
              </w:rPr>
              <w:t>受理</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rPr>
                <w:rFonts w:hint="eastAsia" w:ascii="仿宋" w:hAnsi="仿宋" w:eastAsia="仿宋" w:cs="仿宋"/>
                <w:color w:val="auto"/>
                <w:kern w:val="0"/>
                <w:sz w:val="24"/>
                <w:lang w:val="zh-CN"/>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对申请人申报材料的齐全性和合法性进行初审，对符合要求的申请予以受理并出具《受理通知书》；对申报材料不齐全或不符合法定形式的，出具《一次性告知通知书》；对不符合要求的，出具《不予受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w:t>
            </w:r>
          </w:p>
        </w:tc>
      </w:tr>
      <w:tr>
        <w:tblPrEx>
          <w:tblLayout w:type="fixed"/>
          <w:tblCellMar>
            <w:top w:w="0" w:type="dxa"/>
            <w:left w:w="14" w:type="dxa"/>
            <w:bottom w:w="0" w:type="dxa"/>
            <w:right w:w="14" w:type="dxa"/>
          </w:tblCellMar>
        </w:tblPrEx>
        <w:trPr>
          <w:trHeight w:val="1355" w:hRule="atLeast"/>
        </w:trPr>
        <w:tc>
          <w:tcPr>
            <w:tcW w:w="1084" w:type="dxa"/>
            <w:vMerge w:val="restart"/>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审查</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基教室</w:t>
            </w:r>
          </w:p>
          <w:p>
            <w:pPr>
              <w:adjustRightInd w:val="0"/>
              <w:snapToGrid w:val="0"/>
              <w:spacing w:line="280" w:lineRule="atLeast"/>
              <w:jc w:val="center"/>
              <w:rPr>
                <w:rFonts w:hint="eastAsia" w:ascii="仿宋" w:hAnsi="仿宋" w:eastAsia="仿宋" w:cs="仿宋"/>
                <w:color w:val="auto"/>
                <w:sz w:val="24"/>
              </w:rPr>
            </w:pPr>
            <w:r>
              <w:rPr>
                <w:rFonts w:hint="eastAsia" w:ascii="仿宋" w:hAnsi="仿宋" w:eastAsia="仿宋" w:cs="仿宋"/>
                <w:color w:val="auto"/>
                <w:sz w:val="24"/>
                <w:lang w:eastAsia="zh-CN"/>
              </w:rPr>
              <w:t>王建国</w:t>
            </w:r>
            <w:r>
              <w:rPr>
                <w:rFonts w:hint="eastAsia" w:ascii="仿宋" w:hAnsi="仿宋" w:eastAsia="仿宋" w:cs="仿宋"/>
                <w:color w:val="auto"/>
                <w:sz w:val="24"/>
                <w:lang w:val="en-US" w:eastAsia="zh-CN"/>
              </w:rPr>
              <w:t>13995263812</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kern w:val="0"/>
                <w:sz w:val="24"/>
              </w:rPr>
              <w:t>对</w:t>
            </w:r>
            <w:r>
              <w:rPr>
                <w:rFonts w:hint="eastAsia" w:ascii="仿宋" w:hAnsi="仿宋" w:eastAsia="仿宋" w:cs="仿宋"/>
                <w:color w:val="auto"/>
                <w:kern w:val="0"/>
                <w:sz w:val="24"/>
                <w:lang w:eastAsia="zh-CN"/>
              </w:rPr>
              <w:t>民办非学历教育机构新修改的章程</w:t>
            </w:r>
            <w:r>
              <w:rPr>
                <w:rFonts w:hint="eastAsia" w:ascii="仿宋" w:hAnsi="仿宋" w:eastAsia="仿宋" w:cs="仿宋"/>
                <w:color w:val="auto"/>
                <w:kern w:val="0"/>
                <w:sz w:val="24"/>
              </w:rPr>
              <w:t>进行审查，在</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个工作日内提出意见，并送达局办公室。</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355" w:hRule="atLeast"/>
        </w:trPr>
        <w:tc>
          <w:tcPr>
            <w:tcW w:w="1084" w:type="dxa"/>
            <w:vMerge w:val="continue"/>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办公室</w:t>
            </w:r>
          </w:p>
          <w:p>
            <w:pPr>
              <w:spacing w:line="360" w:lineRule="exact"/>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张军</w:t>
            </w:r>
          </w:p>
          <w:p>
            <w:pPr>
              <w:spacing w:line="360" w:lineRule="exact"/>
              <w:jc w:val="center"/>
              <w:rPr>
                <w:rFonts w:hint="eastAsia" w:ascii="仿宋" w:hAnsi="仿宋" w:eastAsia="仿宋" w:cs="仿宋"/>
                <w:color w:val="auto"/>
                <w:sz w:val="24"/>
              </w:rPr>
            </w:pP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8295021906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spacing w:line="360" w:lineRule="exact"/>
              <w:ind w:firstLine="480" w:firstLineChars="200"/>
              <w:rPr>
                <w:rFonts w:hint="eastAsia" w:ascii="仿宋" w:hAnsi="仿宋" w:eastAsia="仿宋" w:cs="仿宋"/>
                <w:color w:val="auto"/>
                <w:sz w:val="24"/>
              </w:rPr>
            </w:pPr>
            <w:r>
              <w:rPr>
                <w:rFonts w:hint="eastAsia" w:ascii="仿宋" w:hAnsi="仿宋" w:eastAsia="仿宋"/>
                <w:color w:val="auto"/>
                <w:sz w:val="24"/>
              </w:rPr>
              <w:t>对申报人</w:t>
            </w:r>
            <w:r>
              <w:rPr>
                <w:rFonts w:hint="eastAsia" w:ascii="仿宋" w:hAnsi="仿宋" w:eastAsia="仿宋"/>
                <w:color w:val="auto"/>
                <w:sz w:val="24"/>
                <w:lang w:eastAsia="zh-CN"/>
              </w:rPr>
              <w:t>申报的修改章程和基教室提出的修改意见，</w:t>
            </w:r>
            <w:r>
              <w:rPr>
                <w:rFonts w:hint="eastAsia" w:ascii="仿宋" w:hAnsi="仿宋" w:eastAsia="仿宋" w:cs="宋体"/>
                <w:color w:val="auto"/>
                <w:kern w:val="0"/>
                <w:sz w:val="24"/>
              </w:rPr>
              <w:t>在3个工作日内完成汇总意见。</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8</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256"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决定</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区教育体育局</w:t>
            </w:r>
          </w:p>
          <w:p>
            <w:pPr>
              <w:adjustRightInd w:val="0"/>
              <w:snapToGrid w:val="0"/>
              <w:spacing w:line="280" w:lineRule="atLeast"/>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万东旺</w:t>
            </w:r>
            <w:r>
              <w:rPr>
                <w:rFonts w:hint="eastAsia" w:ascii="仿宋" w:hAnsi="仿宋" w:eastAsia="仿宋" w:cs="仿宋"/>
                <w:color w:val="auto"/>
                <w:kern w:val="0"/>
                <w:sz w:val="24"/>
                <w:lang w:val="en-US" w:eastAsia="zh-CN"/>
              </w:rPr>
              <w:t>18095209868</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olor w:val="auto"/>
                <w:sz w:val="24"/>
              </w:rPr>
              <w:t xml:space="preserve">    签发《审查意见书》，在2个工作日完成。</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自窗口受理次日后第</w:t>
            </w:r>
            <w:r>
              <w:rPr>
                <w:rFonts w:hint="eastAsia" w:ascii="仿宋" w:hAnsi="仿宋" w:eastAsia="仿宋" w:cs="仿宋"/>
                <w:color w:val="auto"/>
                <w:kern w:val="0"/>
                <w:sz w:val="24"/>
                <w:lang w:val="en-US" w:eastAsia="zh-CN"/>
              </w:rPr>
              <w:t>10</w:t>
            </w:r>
            <w:r>
              <w:rPr>
                <w:rFonts w:hint="eastAsia" w:ascii="仿宋" w:hAnsi="仿宋" w:eastAsia="仿宋" w:cs="仿宋"/>
                <w:color w:val="auto"/>
                <w:kern w:val="0"/>
                <w:sz w:val="24"/>
                <w:lang w:val="zh-CN"/>
              </w:rPr>
              <w:t>个工作日完成</w:t>
            </w:r>
          </w:p>
        </w:tc>
      </w:tr>
      <w:tr>
        <w:tblPrEx>
          <w:tblLayout w:type="fixed"/>
          <w:tblCellMar>
            <w:top w:w="0" w:type="dxa"/>
            <w:left w:w="14" w:type="dxa"/>
            <w:bottom w:w="0" w:type="dxa"/>
            <w:right w:w="14" w:type="dxa"/>
          </w:tblCellMar>
        </w:tblPrEx>
        <w:trPr>
          <w:trHeight w:val="1110" w:hRule="atLeast"/>
        </w:trPr>
        <w:tc>
          <w:tcPr>
            <w:tcW w:w="1084"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center"/>
              <w:rPr>
                <w:rFonts w:hint="eastAsia" w:ascii="黑体" w:hAnsi="黑体" w:eastAsia="黑体" w:cs="黑体"/>
                <w:color w:val="auto"/>
                <w:kern w:val="0"/>
                <w:sz w:val="24"/>
                <w:lang w:val="zh-CN"/>
              </w:rPr>
            </w:pPr>
            <w:r>
              <w:rPr>
                <w:rFonts w:hint="eastAsia" w:ascii="黑体" w:hAnsi="黑体" w:eastAsia="黑体" w:cs="黑体"/>
                <w:color w:val="auto"/>
                <w:kern w:val="0"/>
                <w:sz w:val="24"/>
                <w:lang w:val="zh-CN"/>
              </w:rPr>
              <w:t>送达</w:t>
            </w:r>
          </w:p>
        </w:tc>
        <w:tc>
          <w:tcPr>
            <w:tcW w:w="1501"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政务服务</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rPr>
              <w:t>大厅窗口</w:t>
            </w:r>
          </w:p>
          <w:p>
            <w:pPr>
              <w:adjustRightInd w:val="0"/>
              <w:snapToGrid w:val="0"/>
              <w:spacing w:line="280" w:lineRule="atLeast"/>
              <w:jc w:val="center"/>
              <w:rPr>
                <w:rFonts w:hint="eastAsia" w:ascii="仿宋" w:hAnsi="仿宋" w:eastAsia="仿宋" w:cs="仿宋"/>
                <w:color w:val="auto"/>
                <w:kern w:val="0"/>
                <w:sz w:val="24"/>
              </w:rPr>
            </w:pPr>
            <w:r>
              <w:rPr>
                <w:rFonts w:hint="eastAsia" w:ascii="仿宋" w:hAnsi="仿宋" w:eastAsia="仿宋" w:cs="仿宋"/>
                <w:color w:val="auto"/>
                <w:kern w:val="0"/>
                <w:sz w:val="24"/>
                <w:lang w:eastAsia="zh-CN"/>
              </w:rPr>
              <w:t>王</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eastAsia="zh-CN"/>
              </w:rPr>
              <w:t>雪</w:t>
            </w:r>
            <w:r>
              <w:rPr>
                <w:rFonts w:hint="eastAsia" w:ascii="仿宋" w:hAnsi="仿宋" w:eastAsia="仿宋" w:cs="仿宋"/>
                <w:color w:val="auto"/>
                <w:kern w:val="0"/>
                <w:sz w:val="24"/>
              </w:rPr>
              <w:t>1</w:t>
            </w:r>
            <w:r>
              <w:rPr>
                <w:rFonts w:hint="eastAsia" w:ascii="仿宋" w:hAnsi="仿宋" w:eastAsia="仿宋" w:cs="仿宋"/>
                <w:color w:val="auto"/>
                <w:kern w:val="0"/>
                <w:sz w:val="24"/>
                <w:lang w:val="en-US" w:eastAsia="zh-CN"/>
              </w:rPr>
              <w:t>8995290286</w:t>
            </w:r>
          </w:p>
        </w:tc>
        <w:tc>
          <w:tcPr>
            <w:tcW w:w="4377"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ind w:firstLine="480" w:firstLineChars="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对批准修改的办学章程出具《办结通知书》；对不批准申请的出具《不予批准通知书》。</w:t>
            </w:r>
          </w:p>
        </w:tc>
        <w:tc>
          <w:tcPr>
            <w:tcW w:w="1698" w:type="dxa"/>
            <w:tcBorders>
              <w:top w:val="single" w:color="auto" w:sz="4" w:space="0"/>
              <w:left w:val="single" w:color="auto" w:sz="4" w:space="0"/>
              <w:bottom w:val="single" w:color="auto" w:sz="4" w:space="0"/>
              <w:right w:val="single" w:color="auto" w:sz="4" w:space="0"/>
            </w:tcBorders>
            <w:textDirection w:val="lrTb"/>
            <w:vAlign w:val="center"/>
          </w:tcPr>
          <w:p>
            <w:pPr>
              <w:autoSpaceDE w:val="0"/>
              <w:autoSpaceDN w:val="0"/>
              <w:adjustRightInd w:val="0"/>
              <w:snapToGrid w:val="0"/>
              <w:spacing w:line="400" w:lineRule="atLeast"/>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不计算在办理期限内 </w:t>
            </w:r>
          </w:p>
        </w:tc>
      </w:tr>
      <w:tr>
        <w:tblPrEx>
          <w:tblLayout w:type="fixed"/>
          <w:tblCellMar>
            <w:top w:w="0" w:type="dxa"/>
            <w:left w:w="14" w:type="dxa"/>
            <w:bottom w:w="0" w:type="dxa"/>
            <w:right w:w="14" w:type="dxa"/>
          </w:tblCellMar>
        </w:tblPrEx>
        <w:trPr>
          <w:trHeight w:val="1392" w:hRule="atLeast"/>
        </w:trPr>
        <w:tc>
          <w:tcPr>
            <w:tcW w:w="10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atLeast"/>
              <w:jc w:val="center"/>
              <w:rPr>
                <w:rFonts w:hint="eastAsia" w:ascii="黑体" w:hAnsi="黑体" w:eastAsia="黑体" w:cs="黑体"/>
                <w:kern w:val="0"/>
                <w:sz w:val="24"/>
                <w:lang w:val="zh-CN"/>
              </w:rPr>
            </w:pPr>
            <w:r>
              <w:rPr>
                <w:rFonts w:hint="eastAsia" w:ascii="黑体" w:hAnsi="黑体" w:eastAsia="黑体" w:cs="黑体"/>
                <w:color w:val="000000"/>
                <w:kern w:val="0"/>
                <w:sz w:val="24"/>
                <w:lang w:val="zh-CN"/>
              </w:rPr>
              <w:t>备  注</w:t>
            </w:r>
          </w:p>
        </w:tc>
        <w:tc>
          <w:tcPr>
            <w:tcW w:w="7576"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zh-CN"/>
              </w:rPr>
              <w:t>法定办理期限为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个工作日，承诺办理期限为</w:t>
            </w:r>
            <w:r>
              <w:rPr>
                <w:rFonts w:hint="eastAsia" w:ascii="仿宋" w:hAnsi="仿宋" w:eastAsia="仿宋" w:cs="仿宋"/>
                <w:kern w:val="0"/>
                <w:sz w:val="24"/>
                <w:lang w:val="en-US" w:eastAsia="zh-CN"/>
              </w:rPr>
              <w:t>x</w:t>
            </w:r>
            <w:r>
              <w:rPr>
                <w:rFonts w:hint="eastAsia" w:ascii="仿宋" w:hAnsi="仿宋" w:eastAsia="仿宋" w:cs="仿宋"/>
                <w:color w:val="000000"/>
                <w:kern w:val="0"/>
                <w:sz w:val="24"/>
                <w:lang w:val="zh-CN"/>
              </w:rPr>
              <w:t>个工作日。</w:t>
            </w:r>
          </w:p>
          <w:p>
            <w:pPr>
              <w:numPr>
                <w:ilvl w:val="0"/>
                <w:numId w:val="1"/>
              </w:numPr>
              <w:autoSpaceDE w:val="0"/>
              <w:autoSpaceDN w:val="0"/>
              <w:adjustRightInd w:val="0"/>
              <w:snapToGrid w:val="0"/>
              <w:spacing w:line="400" w:lineRule="atLeast"/>
              <w:ind w:firstLine="480"/>
              <w:rPr>
                <w:rFonts w:hint="eastAsia" w:ascii="仿宋" w:hAnsi="仿宋" w:eastAsia="仿宋" w:cs="仿宋"/>
                <w:color w:val="000000"/>
                <w:kern w:val="0"/>
                <w:sz w:val="24"/>
                <w:lang w:val="zh-CN"/>
              </w:rPr>
            </w:pPr>
            <w:r>
              <w:rPr>
                <w:rFonts w:hint="eastAsia" w:ascii="仿宋" w:hAnsi="仿宋" w:eastAsia="仿宋" w:cs="仿宋"/>
                <w:color w:val="000000"/>
                <w:kern w:val="0"/>
                <w:sz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注：1.每项公共服务事项均按照实际办理情况，按程序以此填入本表。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2.“办理时限“是指每一个环节所用时限，承诺办理期限是指本事项办理的总时限。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3.本表与附件3配套使用。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Microsoft YaHei">
    <w:altName w:val="MingLiU"/>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Arial Narrow">
    <w:altName w:val="Arial"/>
    <w:panose1 w:val="020B0606020202030204"/>
    <w:charset w:val="01"/>
    <w:family w:val="swiss"/>
    <w:pitch w:val="default"/>
    <w:sig w:usb0="00000000" w:usb1="00000000" w:usb2="00000000" w:usb3="00000000" w:csb0="2000009F" w:csb1="DFD70000"/>
  </w:font>
  <w:font w:name="Wingdings 2">
    <w:altName w:val="Wingdings"/>
    <w:panose1 w:val="05020102010507070707"/>
    <w:charset w:val="00"/>
    <w:family w:val="auto"/>
    <w:pitch w:val="default"/>
    <w:sig w:usb0="00000000" w:usb1="00000000" w:usb2="00000000" w:usb3="00000000" w:csb0="80000000" w:csb1="00000000"/>
  </w:font>
  <w:font w:name="Bookshelf Symbol 7">
    <w:altName w:val="Symbol"/>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MS Reference Sans Serif">
    <w:altName w:val="Verdana"/>
    <w:panose1 w:val="020B0604030504040204"/>
    <w:charset w:val="00"/>
    <w:family w:val="auto"/>
    <w:pitch w:val="default"/>
    <w:sig w:usb0="00000000" w:usb1="00000000" w:usb2="00000000" w:usb3="00000000" w:csb0="2000019F" w:csb1="00000000"/>
  </w:font>
  <w:font w:name="Book Antiqua">
    <w:altName w:val="Palatino Linotype"/>
    <w:panose1 w:val="02040602050305030304"/>
    <w:charset w:val="00"/>
    <w:family w:val="auto"/>
    <w:pitch w:val="default"/>
    <w:sig w:usb0="00000000" w:usb1="00000000" w:usb2="00000000" w:usb3="00000000" w:csb0="2000009F" w:csb1="DFD70000"/>
  </w:font>
  <w:font w:name="MingLiU">
    <w:panose1 w:val="02020309000000000000"/>
    <w:charset w:val="88"/>
    <w:family w:val="auto"/>
    <w:pitch w:val="default"/>
    <w:sig w:usb0="00000003" w:usb1="082E0000" w:usb2="00000016" w:usb3="00000000" w:csb0="00100001" w:csb1="00000000"/>
  </w:font>
  <w:font w:name="Bookman Old Style">
    <w:altName w:val="Georgia"/>
    <w:panose1 w:val="02050604050505020204"/>
    <w:charset w:val="00"/>
    <w:family w:val="auto"/>
    <w:pitch w:val="default"/>
    <w:sig w:usb0="00000000" w:usb1="00000000" w:usb2="00000000" w:usb3="00000000" w:csb0="2000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00000287" w:usb1="00000000" w:usb2="00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30C37"/>
    <w:rsid w:val="3D3B6D30"/>
    <w:rsid w:val="50730C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2016-11-03T08:04:00Z</dcterms:created>
  <dc:creator>Administrator</dc:creator>
  <cp:lastModifiedBy>Administrator</cp:lastModifiedBy>
  <dcterms:modified xsi:type="dcterms:W3CDTF">2016-11-03T09:55:26Z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