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240" w:lineRule="atLeast"/>
        <w:jc w:val="both"/>
        <w:rPr>
          <w:rFonts w:hint="eastAsia" w:ascii="方正小标宋简体" w:hAnsi="宋体" w:eastAsia="方正小标宋简体" w:cs="宋体"/>
          <w:kern w:val="0"/>
          <w:sz w:val="44"/>
          <w:szCs w:val="44"/>
          <w:lang w:val="en-US" w:eastAsia="zh-CN"/>
        </w:rPr>
      </w:pPr>
      <w:r>
        <w:rPr>
          <w:rFonts w:hint="eastAsia" w:ascii="仿宋" w:hAnsi="仿宋" w:eastAsia="仿宋" w:cs="仿宋"/>
          <w:kern w:val="0"/>
          <w:sz w:val="28"/>
          <w:szCs w:val="28"/>
          <w:lang w:val="en-US" w:eastAsia="zh-CN"/>
        </w:rPr>
        <w:t>附件3</w:t>
      </w:r>
    </w:p>
    <w:p>
      <w:pPr>
        <w:widowControl/>
        <w:adjustRightInd w:val="0"/>
        <w:snapToGrid w:val="0"/>
        <w:spacing w:line="240" w:lineRule="atLeast"/>
        <w:jc w:val="center"/>
        <w:rPr>
          <w:rFonts w:hint="eastAsia" w:ascii="方正小标宋简体" w:hAnsi="宋体" w:eastAsia="方正小标宋简体" w:cs="宋体"/>
          <w:kern w:val="0"/>
          <w:sz w:val="44"/>
          <w:szCs w:val="44"/>
          <w:lang w:val="en-US" w:eastAsia="zh-CN"/>
        </w:rPr>
      </w:pPr>
      <w:r>
        <w:rPr>
          <w:rFonts w:hint="eastAsia" w:ascii="方正小标宋简体" w:hAnsi="宋体" w:eastAsia="方正小标宋简体" w:cs="宋体"/>
          <w:kern w:val="0"/>
          <w:sz w:val="44"/>
          <w:szCs w:val="44"/>
          <w:lang w:eastAsia="zh-CN"/>
        </w:rPr>
        <w:t>民办非学历教育机构收取费用</w:t>
      </w:r>
      <w:r>
        <w:rPr>
          <w:rFonts w:hint="eastAsia" w:ascii="方正小标宋简体" w:hAnsi="宋体" w:eastAsia="方正小标宋简体" w:cs="宋体"/>
          <w:kern w:val="0"/>
          <w:sz w:val="44"/>
          <w:szCs w:val="44"/>
          <w:lang w:val="en-US" w:eastAsia="zh-CN"/>
        </w:rPr>
        <w:t>的项目</w:t>
      </w:r>
    </w:p>
    <w:p>
      <w:pPr>
        <w:widowControl/>
        <w:adjustRightInd w:val="0"/>
        <w:snapToGrid w:val="0"/>
        <w:spacing w:line="240" w:lineRule="atLeast"/>
        <w:jc w:val="center"/>
        <w:rPr>
          <w:rFonts w:hint="eastAsia"/>
        </w:rPr>
      </w:pPr>
      <w:r>
        <w:rPr>
          <w:rFonts w:hint="eastAsia" w:ascii="方正小标宋简体" w:hAnsi="宋体" w:eastAsia="方正小标宋简体" w:cs="宋体"/>
          <w:kern w:val="0"/>
          <w:sz w:val="44"/>
          <w:szCs w:val="44"/>
          <w:lang w:val="en-US" w:eastAsia="zh-CN"/>
        </w:rPr>
        <w:t>和标准备案</w:t>
      </w:r>
      <w:r>
        <w:rPr>
          <w:rFonts w:hint="eastAsia" w:ascii="方正小标宋简体" w:hAnsi="宋体" w:eastAsia="方正小标宋简体" w:cs="宋体"/>
          <w:kern w:val="0"/>
          <w:sz w:val="44"/>
          <w:szCs w:val="44"/>
        </w:rPr>
        <w:t>信息表</w:t>
      </w:r>
    </w:p>
    <w:tbl>
      <w:tblPr>
        <w:tblStyle w:val="4"/>
        <w:tblpPr w:leftFromText="180" w:rightFromText="180" w:vertAnchor="text" w:horzAnchor="page" w:tblpX="1882" w:tblpY="259"/>
        <w:tblOverlap w:val="never"/>
        <w:tblW w:w="8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6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事项名称</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eastAsia="zh-CN"/>
              </w:rPr>
              <w:t>民办非学历教育机构收取费用</w:t>
            </w:r>
            <w:r>
              <w:rPr>
                <w:rFonts w:hint="eastAsia" w:ascii="仿宋" w:hAnsi="仿宋" w:eastAsia="仿宋" w:cs="仿宋"/>
                <w:color w:val="auto"/>
                <w:kern w:val="0"/>
                <w:sz w:val="24"/>
                <w:lang w:val="en-US" w:eastAsia="zh-CN"/>
              </w:rPr>
              <w:t>的项目和标准备案</w:t>
            </w:r>
          </w:p>
          <w:p>
            <w:pPr>
              <w:widowControl/>
              <w:adjustRightInd w:val="0"/>
              <w:snapToGrid w:val="0"/>
              <w:spacing w:line="360" w:lineRule="atLeast"/>
              <w:jc w:val="left"/>
              <w:rPr>
                <w:rFonts w:hint="eastAsia" w:ascii="仿宋" w:hAnsi="仿宋" w:eastAsia="仿宋" w:cs="仿宋"/>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bookmarkStart w:id="0" w:name="_GoBack" w:colFirst="1" w:colLast="1"/>
            <w:r>
              <w:rPr>
                <w:rFonts w:hint="eastAsia" w:ascii="黑体" w:hAnsi="黑体" w:eastAsia="黑体" w:cs="黑体"/>
                <w:kern w:val="0"/>
                <w:sz w:val="22"/>
                <w:szCs w:val="22"/>
              </w:rPr>
              <w:t>事项编码</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 xml:space="preserve">     （事项编码不需要填写）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lang w:val="en-US" w:eastAsia="zh-CN"/>
              </w:rPr>
            </w:pPr>
            <w:r>
              <w:rPr>
                <w:rFonts w:hint="eastAsia" w:ascii="黑体" w:hAnsi="黑体" w:eastAsia="黑体" w:cs="黑体"/>
                <w:kern w:val="0"/>
                <w:sz w:val="22"/>
                <w:szCs w:val="22"/>
                <w:lang w:val="en-US" w:eastAsia="zh-CN"/>
              </w:rPr>
              <w:t>事项类别</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 xml:space="preserve">     法律和信息查询类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职权类型</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 xml:space="preserve">     其他类别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办理类型</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 xml:space="preserve">     即办件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lang w:eastAsia="zh-CN"/>
              </w:rPr>
            </w:pPr>
            <w:r>
              <w:rPr>
                <w:rFonts w:hint="eastAsia" w:ascii="黑体" w:hAnsi="黑体" w:eastAsia="黑体" w:cs="黑体"/>
                <w:kern w:val="0"/>
                <w:sz w:val="22"/>
                <w:szCs w:val="22"/>
                <w:lang w:eastAsia="zh-CN"/>
              </w:rPr>
              <w:t>是否纳入</w:t>
            </w:r>
          </w:p>
          <w:p>
            <w:pPr>
              <w:widowControl/>
              <w:adjustRightInd w:val="0"/>
              <w:snapToGrid w:val="0"/>
              <w:spacing w:line="360" w:lineRule="atLeast"/>
              <w:jc w:val="center"/>
              <w:rPr>
                <w:rFonts w:hint="eastAsia" w:ascii="黑体" w:hAnsi="黑体" w:eastAsia="黑体" w:cs="黑体"/>
                <w:kern w:val="0"/>
                <w:sz w:val="22"/>
                <w:szCs w:val="22"/>
                <w:lang w:eastAsia="zh-CN"/>
              </w:rPr>
            </w:pPr>
            <w:r>
              <w:rPr>
                <w:rFonts w:hint="eastAsia" w:ascii="黑体" w:hAnsi="黑体" w:eastAsia="黑体" w:cs="黑体"/>
                <w:kern w:val="0"/>
                <w:sz w:val="22"/>
                <w:szCs w:val="22"/>
                <w:lang w:eastAsia="zh-CN"/>
              </w:rPr>
              <w:t>政府购买服务</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办理主体</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 xml:space="preserve">     大武口区教育体育局基教室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申请主体</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 xml:space="preserve">     其他类别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申请条件</w:t>
            </w:r>
          </w:p>
        </w:tc>
        <w:tc>
          <w:tcPr>
            <w:tcW w:w="6225" w:type="dxa"/>
            <w:tcBorders>
              <w:top w:val="single" w:color="auto" w:sz="4" w:space="0"/>
              <w:left w:val="single" w:color="auto" w:sz="4" w:space="0"/>
              <w:bottom w:val="single" w:color="auto" w:sz="4" w:space="0"/>
              <w:right w:val="single" w:color="auto" w:sz="4" w:space="0"/>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0" w:beforeAutospacing="0" w:after="300" w:afterAutospacing="0" w:line="378" w:lineRule="atLeast"/>
              <w:ind w:left="0" w:right="0" w:firstLine="420"/>
              <w:jc w:val="left"/>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 xml:space="preserve">     </w:t>
            </w:r>
            <w:r>
              <w:rPr>
                <w:rFonts w:hint="default" w:ascii="仿宋" w:hAnsi="仿宋" w:eastAsia="仿宋" w:cs="仿宋"/>
                <w:color w:val="auto"/>
                <w:kern w:val="0"/>
                <w:sz w:val="24"/>
                <w:szCs w:val="24"/>
                <w:lang w:val="en-US" w:eastAsia="zh-CN" w:bidi="ar-SA"/>
              </w:rPr>
              <w:t>1、经市、县教育局行政部门批准、取得《民办学校办学许可证》。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0" w:beforeAutospacing="0" w:after="300" w:afterAutospacing="0" w:line="378" w:lineRule="atLeast"/>
              <w:ind w:left="0" w:right="0" w:firstLine="420"/>
              <w:jc w:val="left"/>
              <w:rPr>
                <w:rFonts w:hint="default" w:ascii="仿宋" w:hAnsi="仿宋" w:eastAsia="仿宋" w:cs="仿宋"/>
                <w:color w:val="auto"/>
                <w:kern w:val="0"/>
                <w:sz w:val="24"/>
                <w:szCs w:val="24"/>
                <w:lang w:val="en-US" w:eastAsia="zh-CN" w:bidi="ar-SA"/>
              </w:rPr>
            </w:pPr>
            <w:r>
              <w:rPr>
                <w:rFonts w:hint="default" w:ascii="仿宋" w:hAnsi="仿宋" w:eastAsia="仿宋" w:cs="仿宋"/>
                <w:color w:val="auto"/>
                <w:kern w:val="0"/>
                <w:sz w:val="24"/>
                <w:szCs w:val="24"/>
                <w:lang w:val="en-US" w:eastAsia="zh-CN" w:bidi="ar-SA"/>
              </w:rPr>
              <w:t>2、</w:t>
            </w:r>
            <w:r>
              <w:rPr>
                <w:rFonts w:hint="eastAsia" w:ascii="仿宋" w:hAnsi="仿宋" w:eastAsia="仿宋" w:cs="仿宋"/>
                <w:color w:val="auto"/>
                <w:kern w:val="0"/>
                <w:sz w:val="24"/>
                <w:szCs w:val="24"/>
                <w:lang w:val="en-US" w:eastAsia="zh-CN" w:bidi="ar-SA"/>
              </w:rPr>
              <w:t>经物价部门审核批准的收费项目和收费标准进行备案。</w:t>
            </w:r>
          </w:p>
          <w:p>
            <w:pPr>
              <w:widowControl/>
              <w:adjustRightInd w:val="0"/>
              <w:snapToGrid w:val="0"/>
              <w:spacing w:line="360" w:lineRule="atLeast"/>
              <w:jc w:val="left"/>
              <w:rPr>
                <w:rFonts w:hint="eastAsia" w:ascii="仿宋" w:hAnsi="仿宋" w:eastAsia="仿宋" w:cs="仿宋"/>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数量限制</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lang w:eastAsia="zh-CN"/>
              </w:rPr>
              <w:t>设定</w:t>
            </w:r>
            <w:r>
              <w:rPr>
                <w:rFonts w:hint="eastAsia" w:ascii="黑体" w:hAnsi="黑体" w:eastAsia="黑体" w:cs="黑体"/>
                <w:kern w:val="0"/>
                <w:sz w:val="22"/>
                <w:szCs w:val="22"/>
              </w:rPr>
              <w:t>依据</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 xml:space="preserve"> 【行政法规】《中华人民共和国民办教育促进法实施条例》（2004年国务院令第399号）</w:t>
            </w:r>
          </w:p>
          <w:p>
            <w:pPr>
              <w:widowControl/>
              <w:adjustRightInd w:val="0"/>
              <w:snapToGrid w:val="0"/>
              <w:spacing w:line="360" w:lineRule="atLeast"/>
              <w:ind w:firstLine="480" w:firstLineChars="20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第三十五条  民办学校对接受学历教育的受教育者收取费用的项目和标准，应当报价格主管部门批准并公示；对其他受教育者收取费用的项目和标准，应当报价格主管部门备案并公示。具体办法由国务院价格主管部门会同教育行政部门、劳动和社会保障行政部门制定。</w:t>
            </w:r>
          </w:p>
          <w:p>
            <w:pPr>
              <w:widowControl/>
              <w:adjustRightInd w:val="0"/>
              <w:snapToGrid w:val="0"/>
              <w:spacing w:line="360" w:lineRule="atLeast"/>
              <w:ind w:firstLine="480" w:firstLineChars="200"/>
              <w:jc w:val="left"/>
              <w:rPr>
                <w:rFonts w:hint="eastAsia" w:ascii="仿宋" w:hAnsi="仿宋" w:eastAsia="仿宋" w:cs="仿宋"/>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申报材料</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幼儿园有关情况。</w:t>
            </w:r>
          </w:p>
          <w:p>
            <w:pPr>
              <w:widowControl/>
              <w:adjustRightInd w:val="0"/>
              <w:snapToGrid w:val="0"/>
              <w:spacing w:line="360" w:lineRule="atLeast"/>
              <w:ind w:firstLine="480" w:firstLineChars="20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制定收费标准的具体成本列支项目。</w:t>
            </w:r>
          </w:p>
          <w:p>
            <w:pPr>
              <w:widowControl/>
              <w:adjustRightInd w:val="0"/>
              <w:snapToGrid w:val="0"/>
              <w:spacing w:line="360" w:lineRule="atLeast"/>
              <w:ind w:firstLine="480" w:firstLineChars="20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幼儿园教职工人数、在园幼儿人数、生均保育成本、固定资产构建情况等。</w:t>
            </w:r>
          </w:p>
          <w:p>
            <w:pPr>
              <w:widowControl/>
              <w:adjustRightInd w:val="0"/>
              <w:snapToGrid w:val="0"/>
              <w:spacing w:line="360" w:lineRule="atLeast"/>
              <w:ind w:firstLine="480" w:firstLineChars="20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 xml:space="preserve">    4.价格、教育、财政部门要求提供的其他材料。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服务表格</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 xml:space="preserve">    民办非学历教育机构服务价格备案表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color w:val="000000"/>
                <w:kern w:val="0"/>
                <w:sz w:val="22"/>
                <w:szCs w:val="22"/>
              </w:rPr>
              <w:t>收费依据和标准</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 xml:space="preserve">     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法定期限</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承诺期限</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特殊环节</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事项公示</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 xml:space="preserve"> 宁夏政务服务网、大武口区政府网、大武口区教育体育局网站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办理地点</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 xml:space="preserve">     大武口区教育体育局基教室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联系电话</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auto"/>
                <w:kern w:val="0"/>
                <w:sz w:val="24"/>
                <w:szCs w:val="24"/>
                <w:lang w:val="en-US" w:eastAsia="zh-Hans" w:bidi="ar-SA"/>
              </w:rPr>
            </w:pPr>
            <w:r>
              <w:rPr>
                <w:rFonts w:hint="eastAsia" w:ascii="仿宋" w:hAnsi="仿宋" w:eastAsia="仿宋" w:cs="仿宋"/>
                <w:color w:val="auto"/>
                <w:kern w:val="0"/>
                <w:sz w:val="24"/>
                <w:szCs w:val="24"/>
                <w:lang w:val="en-US" w:eastAsia="zh-CN" w:bidi="ar-SA"/>
              </w:rPr>
              <w:t xml:space="preserve">    0952-2012350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监督电话</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 xml:space="preserve">    局办公室：0952-2013063  纪检组：0952-2029673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left="0" w:leftChars="0" w:right="0" w:rightChars="0" w:firstLine="0" w:firstLineChars="0"/>
              <w:jc w:val="center"/>
              <w:rPr>
                <w:rFonts w:hint="eastAsia" w:ascii="仿宋" w:hAnsi="仿宋" w:eastAsia="仿宋" w:cs="仿宋"/>
                <w:sz w:val="22"/>
                <w:szCs w:val="22"/>
              </w:rPr>
            </w:pPr>
            <w:r>
              <w:rPr>
                <w:rFonts w:hint="eastAsia" w:ascii="黑体" w:hAnsi="黑体" w:eastAsia="黑体" w:cs="黑体"/>
                <w:sz w:val="22"/>
                <w:szCs w:val="22"/>
              </w:rPr>
              <w:t>办理查询</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 xml:space="preserve">     申请人可通过宁夏政务服务网、石嘴山市政务服务大厅窗口电话、大武口区教育体育局基教室等方式查询公共服务事项的办理进程。</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在线办理链接</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auto"/>
                <w:kern w:val="0"/>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both"/>
        <w:textAlignment w:val="auto"/>
        <w:outlineLvl w:val="9"/>
        <w:rPr>
          <w:rFonts w:hint="eastAsia" w:ascii="仿宋" w:hAnsi="仿宋" w:eastAsia="仿宋" w:cs="仿宋"/>
          <w:sz w:val="22"/>
          <w:szCs w:val="22"/>
          <w:lang w:val="en-US" w:eastAsia="zh-CN"/>
        </w:rPr>
      </w:pPr>
    </w:p>
    <w:p>
      <w:pPr>
        <w:autoSpaceDE w:val="0"/>
        <w:autoSpaceDN w:val="0"/>
        <w:adjustRightInd w:val="0"/>
        <w:snapToGrid w:val="0"/>
        <w:spacing w:line="240" w:lineRule="atLeast"/>
        <w:jc w:val="both"/>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附件4</w:t>
      </w:r>
    </w:p>
    <w:p>
      <w:pPr>
        <w:widowControl/>
        <w:adjustRightInd w:val="0"/>
        <w:snapToGrid w:val="0"/>
        <w:spacing w:line="240" w:lineRule="atLeast"/>
        <w:jc w:val="center"/>
        <w:rPr>
          <w:rFonts w:hint="eastAsia" w:ascii="方正小标宋简体" w:hAnsi="宋体" w:eastAsia="方正小标宋简体" w:cs="宋体"/>
          <w:kern w:val="0"/>
          <w:sz w:val="44"/>
          <w:szCs w:val="44"/>
          <w:lang w:val="en-US" w:eastAsia="zh-CN"/>
        </w:rPr>
      </w:pPr>
      <w:r>
        <w:rPr>
          <w:rFonts w:hint="eastAsia" w:ascii="方正小标宋简体" w:hAnsi="宋体" w:eastAsia="方正小标宋简体" w:cs="宋体"/>
          <w:kern w:val="0"/>
          <w:sz w:val="44"/>
          <w:szCs w:val="44"/>
          <w:lang w:eastAsia="zh-CN"/>
        </w:rPr>
        <w:t>民办非学历教育机构收取费用</w:t>
      </w:r>
      <w:r>
        <w:rPr>
          <w:rFonts w:hint="eastAsia" w:ascii="方正小标宋简体" w:hAnsi="宋体" w:eastAsia="方正小标宋简体" w:cs="宋体"/>
          <w:kern w:val="0"/>
          <w:sz w:val="44"/>
          <w:szCs w:val="44"/>
          <w:lang w:val="en-US" w:eastAsia="zh-CN"/>
        </w:rPr>
        <w:t>的项目</w:t>
      </w:r>
    </w:p>
    <w:p>
      <w:pPr>
        <w:autoSpaceDE w:val="0"/>
        <w:autoSpaceDN w:val="0"/>
        <w:adjustRightInd w:val="0"/>
        <w:snapToGrid w:val="0"/>
        <w:spacing w:line="240" w:lineRule="atLeast"/>
        <w:jc w:val="center"/>
        <w:rPr>
          <w:rFonts w:hint="eastAsia" w:ascii="方正小标宋简体" w:hAnsi="方正小标宋简体" w:eastAsia="方正小标宋简体" w:cs="方正小标宋简体"/>
          <w:kern w:val="0"/>
          <w:sz w:val="32"/>
          <w:szCs w:val="32"/>
          <w:lang w:val="zh-CN"/>
        </w:rPr>
      </w:pPr>
      <w:r>
        <w:rPr>
          <w:rFonts w:hint="eastAsia" w:ascii="方正小标宋简体" w:hAnsi="宋体" w:eastAsia="方正小标宋简体" w:cs="宋体"/>
          <w:kern w:val="0"/>
          <w:sz w:val="44"/>
          <w:szCs w:val="44"/>
          <w:lang w:val="en-US" w:eastAsia="zh-CN"/>
        </w:rPr>
        <w:t>和标准备案</w:t>
      </w:r>
      <w:r>
        <w:rPr>
          <w:rFonts w:hint="eastAsia" w:ascii="方正小标宋简体" w:hAnsi="宋体" w:eastAsia="方正小标宋简体" w:cs="宋体"/>
          <w:kern w:val="0"/>
          <w:sz w:val="44"/>
          <w:szCs w:val="44"/>
        </w:rPr>
        <w:t>办理流程</w:t>
      </w:r>
    </w:p>
    <w:tbl>
      <w:tblPr>
        <w:tblStyle w:val="4"/>
        <w:tblpPr w:leftFromText="180" w:rightFromText="180" w:vertAnchor="text" w:horzAnchor="page" w:tblpX="1635" w:tblpY="44"/>
        <w:tblOverlap w:val="never"/>
        <w:tblW w:w="8660" w:type="dxa"/>
        <w:tblInd w:w="0" w:type="dxa"/>
        <w:tblLayout w:type="fixed"/>
        <w:tblCellMar>
          <w:top w:w="0" w:type="dxa"/>
          <w:left w:w="14" w:type="dxa"/>
          <w:bottom w:w="0" w:type="dxa"/>
          <w:right w:w="14" w:type="dxa"/>
        </w:tblCellMar>
      </w:tblPr>
      <w:tblGrid>
        <w:gridCol w:w="1084"/>
        <w:gridCol w:w="1501"/>
        <w:gridCol w:w="4377"/>
        <w:gridCol w:w="1698"/>
      </w:tblGrid>
      <w:tr>
        <w:tblPrEx>
          <w:tblLayout w:type="fixed"/>
          <w:tblCellMar>
            <w:top w:w="0" w:type="dxa"/>
            <w:left w:w="14" w:type="dxa"/>
            <w:bottom w:w="0" w:type="dxa"/>
            <w:right w:w="14" w:type="dxa"/>
          </w:tblCellMar>
        </w:tblPrEx>
        <w:trPr>
          <w:trHeight w:val="981" w:hRule="atLeast"/>
        </w:trPr>
        <w:tc>
          <w:tcPr>
            <w:tcW w:w="10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color w:val="000000"/>
                <w:kern w:val="0"/>
                <w:sz w:val="24"/>
                <w:lang w:val="zh-CN"/>
              </w:rPr>
              <w:t>程  序</w:t>
            </w:r>
          </w:p>
        </w:tc>
        <w:tc>
          <w:tcPr>
            <w:tcW w:w="15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atLeast"/>
              <w:jc w:val="center"/>
              <w:rPr>
                <w:rFonts w:hint="eastAsia" w:ascii="黑体" w:hAnsi="黑体" w:eastAsia="黑体" w:cs="黑体"/>
                <w:color w:val="000000"/>
                <w:kern w:val="0"/>
                <w:sz w:val="24"/>
                <w:lang w:val="zh-CN"/>
              </w:rPr>
            </w:pPr>
            <w:r>
              <w:rPr>
                <w:rFonts w:hint="eastAsia" w:ascii="黑体" w:hAnsi="黑体" w:eastAsia="黑体" w:cs="黑体"/>
                <w:color w:val="000000"/>
                <w:kern w:val="0"/>
                <w:sz w:val="24"/>
                <w:lang w:val="zh-CN"/>
              </w:rPr>
              <w:t>责任单位</w:t>
            </w:r>
          </w:p>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color w:val="000000"/>
                <w:kern w:val="0"/>
                <w:sz w:val="24"/>
                <w:lang w:val="zh-CN"/>
              </w:rPr>
              <w:t>及责任人</w:t>
            </w:r>
          </w:p>
        </w:tc>
        <w:tc>
          <w:tcPr>
            <w:tcW w:w="43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color w:val="000000"/>
                <w:kern w:val="0"/>
                <w:sz w:val="24"/>
                <w:lang w:val="zh-CN"/>
              </w:rPr>
              <w:t>工作内容</w:t>
            </w:r>
          </w:p>
        </w:tc>
        <w:tc>
          <w:tcPr>
            <w:tcW w:w="16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color w:val="000000"/>
                <w:kern w:val="0"/>
                <w:sz w:val="24"/>
                <w:lang w:val="zh-CN"/>
              </w:rPr>
              <w:t>办结时限</w:t>
            </w:r>
          </w:p>
        </w:tc>
      </w:tr>
      <w:tr>
        <w:tblPrEx>
          <w:tblLayout w:type="fixed"/>
          <w:tblCellMar>
            <w:top w:w="0" w:type="dxa"/>
            <w:left w:w="14" w:type="dxa"/>
            <w:bottom w:w="0" w:type="dxa"/>
            <w:right w:w="14" w:type="dxa"/>
          </w:tblCellMar>
        </w:tblPrEx>
        <w:trPr>
          <w:trHeight w:val="1237" w:hRule="atLeast"/>
        </w:trPr>
        <w:tc>
          <w:tcPr>
            <w:tcW w:w="1084" w:type="dxa"/>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spacing w:line="400" w:lineRule="atLeast"/>
              <w:jc w:val="center"/>
              <w:rPr>
                <w:rFonts w:hint="eastAsia" w:ascii="黑体" w:hAnsi="黑体" w:eastAsia="黑体" w:cs="黑体"/>
                <w:color w:val="auto"/>
                <w:kern w:val="0"/>
                <w:sz w:val="24"/>
                <w:lang w:val="en-US" w:eastAsia="zh-CN"/>
              </w:rPr>
            </w:pPr>
            <w:r>
              <w:rPr>
                <w:rFonts w:hint="eastAsia" w:ascii="黑体" w:hAnsi="黑体" w:eastAsia="黑体" w:cs="黑体"/>
                <w:color w:val="auto"/>
                <w:kern w:val="0"/>
                <w:sz w:val="24"/>
                <w:lang w:val="zh-CN"/>
              </w:rPr>
              <w:t>受  理</w:t>
            </w:r>
          </w:p>
        </w:tc>
        <w:tc>
          <w:tcPr>
            <w:tcW w:w="1501" w:type="dxa"/>
            <w:tcBorders>
              <w:top w:val="single" w:color="auto" w:sz="4" w:space="0"/>
              <w:left w:val="single" w:color="auto" w:sz="4" w:space="0"/>
              <w:bottom w:val="single" w:color="auto" w:sz="4" w:space="0"/>
              <w:right w:val="single" w:color="auto" w:sz="4" w:space="0"/>
            </w:tcBorders>
            <w:textDirection w:val="lrTb"/>
            <w:vAlign w:val="center"/>
          </w:tcPr>
          <w:p>
            <w:pPr>
              <w:adjustRightInd w:val="0"/>
              <w:snapToGrid w:val="0"/>
              <w:spacing w:line="280" w:lineRule="atLeast"/>
              <w:jc w:val="center"/>
              <w:rPr>
                <w:rFonts w:hint="eastAsia" w:ascii="仿宋" w:hAnsi="仿宋" w:eastAsia="仿宋" w:cs="仿宋"/>
                <w:color w:val="auto"/>
                <w:kern w:val="0"/>
                <w:sz w:val="24"/>
              </w:rPr>
            </w:pPr>
            <w:r>
              <w:rPr>
                <w:rFonts w:hint="eastAsia" w:ascii="仿宋" w:hAnsi="仿宋" w:eastAsia="仿宋" w:cs="仿宋"/>
                <w:color w:val="auto"/>
                <w:kern w:val="0"/>
                <w:sz w:val="24"/>
              </w:rPr>
              <w:t>政务服务</w:t>
            </w:r>
          </w:p>
          <w:p>
            <w:pPr>
              <w:adjustRightInd w:val="0"/>
              <w:snapToGrid w:val="0"/>
              <w:spacing w:line="280" w:lineRule="atLeast"/>
              <w:jc w:val="center"/>
              <w:rPr>
                <w:rFonts w:hint="eastAsia" w:ascii="仿宋" w:hAnsi="仿宋" w:eastAsia="仿宋" w:cs="仿宋"/>
                <w:color w:val="auto"/>
                <w:kern w:val="0"/>
                <w:sz w:val="24"/>
              </w:rPr>
            </w:pPr>
            <w:r>
              <w:rPr>
                <w:rFonts w:hint="eastAsia" w:ascii="仿宋" w:hAnsi="仿宋" w:eastAsia="仿宋" w:cs="仿宋"/>
                <w:color w:val="auto"/>
                <w:kern w:val="0"/>
                <w:sz w:val="24"/>
              </w:rPr>
              <w:t>大厅窗口</w:t>
            </w:r>
          </w:p>
          <w:p>
            <w:pPr>
              <w:adjustRightInd w:val="0"/>
              <w:snapToGrid w:val="0"/>
              <w:spacing w:line="280" w:lineRule="atLeast"/>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eastAsia="zh-CN"/>
              </w:rPr>
              <w:t>王</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eastAsia="zh-CN"/>
              </w:rPr>
              <w:t>雪</w:t>
            </w:r>
            <w:r>
              <w:rPr>
                <w:rFonts w:hint="eastAsia" w:ascii="仿宋" w:hAnsi="仿宋" w:eastAsia="仿宋" w:cs="仿宋"/>
                <w:color w:val="auto"/>
                <w:kern w:val="0"/>
                <w:sz w:val="24"/>
              </w:rPr>
              <w:t>1</w:t>
            </w:r>
            <w:r>
              <w:rPr>
                <w:rFonts w:hint="eastAsia" w:ascii="仿宋" w:hAnsi="仿宋" w:eastAsia="仿宋" w:cs="仿宋"/>
                <w:color w:val="auto"/>
                <w:kern w:val="0"/>
                <w:sz w:val="24"/>
                <w:lang w:val="en-US" w:eastAsia="zh-CN"/>
              </w:rPr>
              <w:t>8995290286</w:t>
            </w:r>
          </w:p>
        </w:tc>
        <w:tc>
          <w:tcPr>
            <w:tcW w:w="4377" w:type="dxa"/>
            <w:tcBorders>
              <w:top w:val="single" w:color="auto" w:sz="4" w:space="0"/>
              <w:left w:val="single" w:color="auto" w:sz="4" w:space="0"/>
              <w:bottom w:val="single" w:color="auto" w:sz="4" w:space="0"/>
              <w:right w:val="single" w:color="auto" w:sz="4" w:space="0"/>
            </w:tcBorders>
            <w:textDirection w:val="lrTb"/>
            <w:vAlign w:val="center"/>
          </w:tcPr>
          <w:p>
            <w:pPr>
              <w:adjustRightInd w:val="0"/>
              <w:snapToGrid w:val="0"/>
              <w:spacing w:line="280" w:lineRule="atLeast"/>
              <w:rPr>
                <w:rFonts w:hint="eastAsia" w:ascii="仿宋" w:hAnsi="仿宋" w:eastAsia="仿宋" w:cs="仿宋"/>
                <w:color w:val="auto"/>
                <w:kern w:val="0"/>
                <w:sz w:val="24"/>
                <w:lang w:val="zh-CN"/>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对申请人申报材料的齐全性和合法性进行初审，对符合要求的申请予以受理并出具《受理通知书》；对申报材料不齐全或不符合法定形式的，出具《一次性告知通知书》；对不符合要求的，出具《不予受理通知书》。</w:t>
            </w:r>
          </w:p>
        </w:tc>
        <w:tc>
          <w:tcPr>
            <w:tcW w:w="1698" w:type="dxa"/>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spacing w:line="400" w:lineRule="atLeast"/>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不计算在办理期限内</w:t>
            </w:r>
          </w:p>
        </w:tc>
      </w:tr>
      <w:tr>
        <w:tblPrEx>
          <w:tblLayout w:type="fixed"/>
          <w:tblCellMar>
            <w:top w:w="0" w:type="dxa"/>
            <w:left w:w="14" w:type="dxa"/>
            <w:bottom w:w="0" w:type="dxa"/>
            <w:right w:w="14" w:type="dxa"/>
          </w:tblCellMar>
        </w:tblPrEx>
        <w:trPr>
          <w:trHeight w:val="1355" w:hRule="atLeast"/>
        </w:trPr>
        <w:tc>
          <w:tcPr>
            <w:tcW w:w="1084" w:type="dxa"/>
            <w:vMerge w:val="restart"/>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spacing w:line="400" w:lineRule="atLeast"/>
              <w:jc w:val="center"/>
              <w:rPr>
                <w:rFonts w:hint="eastAsia" w:ascii="黑体" w:hAnsi="黑体" w:eastAsia="黑体" w:cs="黑体"/>
                <w:color w:val="auto"/>
                <w:kern w:val="0"/>
                <w:sz w:val="24"/>
                <w:lang w:val="zh-CN"/>
              </w:rPr>
            </w:pPr>
            <w:r>
              <w:rPr>
                <w:rFonts w:hint="eastAsia" w:ascii="黑体" w:hAnsi="黑体" w:eastAsia="黑体" w:cs="黑体"/>
                <w:color w:val="auto"/>
                <w:kern w:val="0"/>
                <w:sz w:val="24"/>
                <w:lang w:val="zh-CN"/>
              </w:rPr>
              <w:t>审  查</w:t>
            </w:r>
          </w:p>
        </w:tc>
        <w:tc>
          <w:tcPr>
            <w:tcW w:w="1501" w:type="dxa"/>
            <w:tcBorders>
              <w:top w:val="single" w:color="auto" w:sz="4" w:space="0"/>
              <w:left w:val="single" w:color="auto" w:sz="4" w:space="0"/>
              <w:bottom w:val="single" w:color="auto" w:sz="4" w:space="0"/>
              <w:right w:val="single" w:color="auto" w:sz="4" w:space="0"/>
            </w:tcBorders>
            <w:textDirection w:val="lrTb"/>
            <w:vAlign w:val="center"/>
          </w:tcPr>
          <w:p>
            <w:pPr>
              <w:adjustRightInd w:val="0"/>
              <w:snapToGrid w:val="0"/>
              <w:spacing w:line="280" w:lineRule="atLeast"/>
              <w:jc w:val="center"/>
              <w:rPr>
                <w:rFonts w:hint="eastAsia" w:ascii="仿宋" w:hAnsi="仿宋" w:eastAsia="仿宋" w:cs="仿宋"/>
                <w:color w:val="auto"/>
                <w:kern w:val="0"/>
                <w:sz w:val="24"/>
              </w:rPr>
            </w:pPr>
            <w:r>
              <w:rPr>
                <w:rFonts w:hint="eastAsia" w:ascii="仿宋" w:hAnsi="仿宋" w:eastAsia="仿宋" w:cs="仿宋"/>
                <w:color w:val="auto"/>
                <w:kern w:val="0"/>
                <w:sz w:val="24"/>
              </w:rPr>
              <w:t>区教育体育局</w:t>
            </w:r>
            <w:r>
              <w:rPr>
                <w:rFonts w:hint="eastAsia" w:ascii="仿宋" w:hAnsi="仿宋" w:eastAsia="仿宋" w:cs="仿宋"/>
                <w:color w:val="auto"/>
                <w:kern w:val="0"/>
                <w:sz w:val="24"/>
                <w:lang w:eastAsia="zh-CN"/>
              </w:rPr>
              <w:t>基教室</w:t>
            </w:r>
          </w:p>
          <w:p>
            <w:pPr>
              <w:adjustRightInd w:val="0"/>
              <w:snapToGrid w:val="0"/>
              <w:spacing w:line="280" w:lineRule="atLeast"/>
              <w:jc w:val="center"/>
              <w:rPr>
                <w:rFonts w:hint="eastAsia" w:ascii="仿宋" w:hAnsi="仿宋" w:eastAsia="仿宋" w:cs="仿宋"/>
                <w:color w:val="auto"/>
                <w:sz w:val="24"/>
              </w:rPr>
            </w:pPr>
            <w:r>
              <w:rPr>
                <w:rFonts w:hint="eastAsia" w:ascii="仿宋" w:hAnsi="仿宋" w:eastAsia="仿宋" w:cs="仿宋"/>
                <w:color w:val="auto"/>
                <w:sz w:val="24"/>
                <w:lang w:eastAsia="zh-CN"/>
              </w:rPr>
              <w:t>王建国</w:t>
            </w:r>
            <w:r>
              <w:rPr>
                <w:rFonts w:hint="eastAsia" w:ascii="仿宋" w:hAnsi="仿宋" w:eastAsia="仿宋" w:cs="仿宋"/>
                <w:color w:val="auto"/>
                <w:sz w:val="24"/>
                <w:lang w:val="en-US" w:eastAsia="zh-CN"/>
              </w:rPr>
              <w:t>13995263812</w:t>
            </w:r>
          </w:p>
        </w:tc>
        <w:tc>
          <w:tcPr>
            <w:tcW w:w="4377" w:type="dxa"/>
            <w:tcBorders>
              <w:top w:val="single" w:color="auto" w:sz="4" w:space="0"/>
              <w:left w:val="single" w:color="auto" w:sz="4" w:space="0"/>
              <w:bottom w:val="single" w:color="auto" w:sz="4" w:space="0"/>
              <w:right w:val="single" w:color="auto" w:sz="4" w:space="0"/>
            </w:tcBorders>
            <w:textDirection w:val="lrTb"/>
            <w:vAlign w:val="center"/>
          </w:tcPr>
          <w:p>
            <w:pPr>
              <w:spacing w:line="3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lang w:eastAsia="zh-CN"/>
              </w:rPr>
              <w:t>对申请收费标准备案或变更收费标准的民办非学历教育机构上报的申报材料进行审核，通过后签字送办公室复核。对不予批准的提出书面意见，由大厅窗口出具</w:t>
            </w:r>
            <w:r>
              <w:rPr>
                <w:rFonts w:hint="eastAsia" w:ascii="仿宋" w:hAnsi="仿宋" w:eastAsia="仿宋" w:cs="仿宋"/>
                <w:color w:val="auto"/>
                <w:kern w:val="0"/>
                <w:sz w:val="24"/>
                <w:lang w:val="zh-CN"/>
              </w:rPr>
              <w:t>《不予受理通知书》。</w:t>
            </w:r>
          </w:p>
        </w:tc>
        <w:tc>
          <w:tcPr>
            <w:tcW w:w="1698" w:type="dxa"/>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spacing w:line="400" w:lineRule="atLeast"/>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自窗口受理次日后第</w:t>
            </w: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lang w:val="zh-CN"/>
              </w:rPr>
              <w:t>个工作日完成</w:t>
            </w:r>
          </w:p>
        </w:tc>
      </w:tr>
      <w:tr>
        <w:tblPrEx>
          <w:tblLayout w:type="fixed"/>
          <w:tblCellMar>
            <w:top w:w="0" w:type="dxa"/>
            <w:left w:w="14" w:type="dxa"/>
            <w:bottom w:w="0" w:type="dxa"/>
            <w:right w:w="14" w:type="dxa"/>
          </w:tblCellMar>
        </w:tblPrEx>
        <w:trPr>
          <w:trHeight w:val="1355" w:hRule="atLeast"/>
        </w:trPr>
        <w:tc>
          <w:tcPr>
            <w:tcW w:w="1084" w:type="dxa"/>
            <w:vMerge w:val="continue"/>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spacing w:line="400" w:lineRule="atLeast"/>
              <w:jc w:val="center"/>
              <w:rPr>
                <w:rFonts w:hint="eastAsia" w:ascii="黑体" w:hAnsi="黑体" w:eastAsia="黑体" w:cs="黑体"/>
                <w:color w:val="auto"/>
                <w:kern w:val="0"/>
                <w:sz w:val="24"/>
                <w:lang w:val="zh-CN"/>
              </w:rPr>
            </w:pPr>
          </w:p>
        </w:tc>
        <w:tc>
          <w:tcPr>
            <w:tcW w:w="1501" w:type="dxa"/>
            <w:tcBorders>
              <w:top w:val="single" w:color="auto" w:sz="4" w:space="0"/>
              <w:left w:val="single" w:color="auto" w:sz="4" w:space="0"/>
              <w:bottom w:val="single" w:color="auto" w:sz="4" w:space="0"/>
              <w:right w:val="single" w:color="auto" w:sz="4" w:space="0"/>
            </w:tcBorders>
            <w:textDirection w:val="lrTb"/>
            <w:vAlign w:val="center"/>
          </w:tcPr>
          <w:p>
            <w:pPr>
              <w:adjustRightInd w:val="0"/>
              <w:snapToGrid w:val="0"/>
              <w:spacing w:line="280" w:lineRule="atLeast"/>
              <w:jc w:val="center"/>
              <w:rPr>
                <w:rFonts w:hint="eastAsia" w:ascii="仿宋" w:hAnsi="仿宋" w:eastAsia="仿宋" w:cs="仿宋"/>
                <w:color w:val="auto"/>
                <w:kern w:val="0"/>
                <w:sz w:val="24"/>
              </w:rPr>
            </w:pPr>
            <w:r>
              <w:rPr>
                <w:rFonts w:hint="eastAsia" w:ascii="仿宋" w:hAnsi="仿宋" w:eastAsia="仿宋" w:cs="仿宋"/>
                <w:color w:val="auto"/>
                <w:kern w:val="0"/>
                <w:sz w:val="24"/>
              </w:rPr>
              <w:t>区教育体育局体办公室</w:t>
            </w:r>
          </w:p>
          <w:p>
            <w:pPr>
              <w:spacing w:line="360" w:lineRule="exact"/>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张军</w:t>
            </w:r>
          </w:p>
          <w:p>
            <w:pPr>
              <w:spacing w:line="360" w:lineRule="exact"/>
              <w:jc w:val="center"/>
              <w:rPr>
                <w:rFonts w:hint="eastAsia" w:ascii="仿宋" w:hAnsi="仿宋" w:eastAsia="仿宋" w:cs="仿宋"/>
                <w:color w:val="auto"/>
                <w:sz w:val="24"/>
              </w:rPr>
            </w:pPr>
            <w:r>
              <w:rPr>
                <w:rFonts w:hint="eastAsia" w:ascii="仿宋" w:hAnsi="仿宋" w:eastAsia="仿宋" w:cs="仿宋"/>
                <w:color w:val="auto"/>
                <w:kern w:val="0"/>
                <w:sz w:val="24"/>
              </w:rPr>
              <w:t>1</w:t>
            </w:r>
            <w:r>
              <w:rPr>
                <w:rFonts w:hint="eastAsia" w:ascii="仿宋" w:hAnsi="仿宋" w:eastAsia="仿宋" w:cs="仿宋"/>
                <w:color w:val="auto"/>
                <w:kern w:val="0"/>
                <w:sz w:val="24"/>
                <w:lang w:val="en-US" w:eastAsia="zh-CN"/>
              </w:rPr>
              <w:t>8295021906</w:t>
            </w:r>
          </w:p>
        </w:tc>
        <w:tc>
          <w:tcPr>
            <w:tcW w:w="4377" w:type="dxa"/>
            <w:tcBorders>
              <w:top w:val="single" w:color="auto" w:sz="4" w:space="0"/>
              <w:left w:val="single" w:color="auto" w:sz="4" w:space="0"/>
              <w:bottom w:val="single" w:color="auto" w:sz="4" w:space="0"/>
              <w:right w:val="single" w:color="auto" w:sz="4" w:space="0"/>
            </w:tcBorders>
            <w:textDirection w:val="lrTb"/>
            <w:vAlign w:val="center"/>
          </w:tcPr>
          <w:p>
            <w:pPr>
              <w:spacing w:line="360" w:lineRule="exact"/>
              <w:ind w:firstLine="480" w:firstLineChars="200"/>
              <w:rPr>
                <w:rFonts w:hint="eastAsia" w:ascii="仿宋" w:hAnsi="仿宋" w:eastAsia="仿宋" w:cs="仿宋"/>
                <w:color w:val="auto"/>
                <w:sz w:val="24"/>
              </w:rPr>
            </w:pPr>
            <w:r>
              <w:rPr>
                <w:rFonts w:hint="eastAsia" w:ascii="仿宋" w:hAnsi="仿宋" w:eastAsia="仿宋"/>
                <w:color w:val="auto"/>
                <w:sz w:val="24"/>
              </w:rPr>
              <w:t>对</w:t>
            </w:r>
            <w:r>
              <w:rPr>
                <w:rFonts w:hint="eastAsia" w:ascii="仿宋" w:hAnsi="仿宋" w:eastAsia="仿宋"/>
                <w:color w:val="auto"/>
                <w:sz w:val="24"/>
                <w:lang w:eastAsia="zh-CN"/>
              </w:rPr>
              <w:t>基教室送报的</w:t>
            </w:r>
            <w:r>
              <w:rPr>
                <w:rFonts w:hint="eastAsia" w:ascii="仿宋" w:hAnsi="仿宋" w:eastAsia="仿宋" w:cs="仿宋"/>
                <w:color w:val="auto"/>
                <w:sz w:val="24"/>
                <w:lang w:eastAsia="zh-CN"/>
              </w:rPr>
              <w:t>提出变更收费标准的民办非学历教育机构上报的申报材料进行</w:t>
            </w:r>
            <w:r>
              <w:rPr>
                <w:rFonts w:hint="eastAsia" w:ascii="仿宋" w:hAnsi="仿宋" w:eastAsia="仿宋"/>
                <w:color w:val="auto"/>
                <w:sz w:val="24"/>
                <w:lang w:eastAsia="zh-CN"/>
              </w:rPr>
              <w:t>复核，复核通过盖章。</w:t>
            </w:r>
            <w:r>
              <w:rPr>
                <w:rFonts w:hint="eastAsia" w:ascii="仿宋" w:hAnsi="仿宋" w:eastAsia="仿宋" w:cs="宋体"/>
                <w:color w:val="auto"/>
                <w:kern w:val="0"/>
                <w:sz w:val="24"/>
              </w:rPr>
              <w:t>在</w:t>
            </w:r>
            <w:r>
              <w:rPr>
                <w:rFonts w:hint="eastAsia" w:ascii="仿宋" w:hAnsi="仿宋" w:eastAsia="仿宋" w:cs="宋体"/>
                <w:color w:val="auto"/>
                <w:kern w:val="0"/>
                <w:sz w:val="24"/>
                <w:lang w:val="en-US" w:eastAsia="zh-CN"/>
              </w:rPr>
              <w:t>2</w:t>
            </w:r>
            <w:r>
              <w:rPr>
                <w:rFonts w:hint="eastAsia" w:ascii="仿宋" w:hAnsi="仿宋" w:eastAsia="仿宋" w:cs="宋体"/>
                <w:color w:val="auto"/>
                <w:kern w:val="0"/>
                <w:sz w:val="24"/>
              </w:rPr>
              <w:t>个工作日内完成。</w:t>
            </w:r>
          </w:p>
        </w:tc>
        <w:tc>
          <w:tcPr>
            <w:tcW w:w="1698" w:type="dxa"/>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spacing w:line="400" w:lineRule="atLeast"/>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自窗口受理次日后第</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lang w:val="zh-CN"/>
              </w:rPr>
              <w:t>个工作日完成</w:t>
            </w:r>
          </w:p>
        </w:tc>
      </w:tr>
      <w:tr>
        <w:tblPrEx>
          <w:tblLayout w:type="fixed"/>
          <w:tblCellMar>
            <w:top w:w="0" w:type="dxa"/>
            <w:left w:w="14" w:type="dxa"/>
            <w:bottom w:w="0" w:type="dxa"/>
            <w:right w:w="14" w:type="dxa"/>
          </w:tblCellMar>
        </w:tblPrEx>
        <w:trPr>
          <w:trHeight w:val="1256" w:hRule="atLeast"/>
        </w:trPr>
        <w:tc>
          <w:tcPr>
            <w:tcW w:w="1084" w:type="dxa"/>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spacing w:line="400" w:lineRule="atLeast"/>
              <w:jc w:val="center"/>
              <w:rPr>
                <w:rFonts w:hint="eastAsia" w:ascii="黑体" w:hAnsi="黑体" w:eastAsia="黑体" w:cs="黑体"/>
                <w:color w:val="auto"/>
                <w:kern w:val="0"/>
                <w:sz w:val="24"/>
                <w:lang w:val="zh-CN"/>
              </w:rPr>
            </w:pPr>
            <w:r>
              <w:rPr>
                <w:rFonts w:hint="eastAsia" w:ascii="黑体" w:hAnsi="黑体" w:eastAsia="黑体" w:cs="黑体"/>
                <w:color w:val="auto"/>
                <w:kern w:val="0"/>
                <w:sz w:val="24"/>
                <w:lang w:val="zh-CN"/>
              </w:rPr>
              <w:t>决  定</w:t>
            </w:r>
          </w:p>
        </w:tc>
        <w:tc>
          <w:tcPr>
            <w:tcW w:w="1501" w:type="dxa"/>
            <w:tcBorders>
              <w:top w:val="single" w:color="auto" w:sz="4" w:space="0"/>
              <w:left w:val="single" w:color="auto" w:sz="4" w:space="0"/>
              <w:bottom w:val="single" w:color="auto" w:sz="4" w:space="0"/>
              <w:right w:val="single" w:color="auto" w:sz="4" w:space="0"/>
            </w:tcBorders>
            <w:textDirection w:val="lrTb"/>
            <w:vAlign w:val="center"/>
          </w:tcPr>
          <w:p>
            <w:pPr>
              <w:adjustRightInd w:val="0"/>
              <w:snapToGrid w:val="0"/>
              <w:spacing w:line="280" w:lineRule="atLeast"/>
              <w:jc w:val="center"/>
              <w:rPr>
                <w:rFonts w:hint="eastAsia" w:ascii="仿宋" w:hAnsi="仿宋" w:eastAsia="仿宋" w:cs="仿宋"/>
                <w:color w:val="auto"/>
                <w:kern w:val="0"/>
                <w:sz w:val="24"/>
              </w:rPr>
            </w:pPr>
            <w:r>
              <w:rPr>
                <w:rFonts w:hint="eastAsia" w:ascii="仿宋" w:hAnsi="仿宋" w:eastAsia="仿宋" w:cs="仿宋"/>
                <w:color w:val="auto"/>
                <w:kern w:val="0"/>
                <w:sz w:val="24"/>
              </w:rPr>
              <w:t>区教育体育局</w:t>
            </w:r>
          </w:p>
          <w:p>
            <w:pPr>
              <w:adjustRightInd w:val="0"/>
              <w:snapToGrid w:val="0"/>
              <w:spacing w:line="280" w:lineRule="atLeast"/>
              <w:jc w:val="both"/>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val="zh-CN"/>
              </w:rPr>
              <w:t>万东旺</w:t>
            </w:r>
            <w:r>
              <w:rPr>
                <w:rFonts w:hint="eastAsia" w:ascii="仿宋" w:hAnsi="仿宋" w:eastAsia="仿宋" w:cs="仿宋"/>
                <w:color w:val="auto"/>
                <w:kern w:val="0"/>
                <w:sz w:val="24"/>
                <w:lang w:val="en-US" w:eastAsia="zh-CN"/>
              </w:rPr>
              <w:t>18095209868</w:t>
            </w:r>
          </w:p>
        </w:tc>
        <w:tc>
          <w:tcPr>
            <w:tcW w:w="4377" w:type="dxa"/>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spacing w:line="400" w:lineRule="atLeast"/>
              <w:jc w:val="left"/>
              <w:rPr>
                <w:rFonts w:hint="eastAsia" w:ascii="仿宋" w:hAnsi="仿宋" w:eastAsia="仿宋" w:cs="仿宋"/>
                <w:color w:val="auto"/>
                <w:kern w:val="0"/>
                <w:sz w:val="24"/>
                <w:lang w:val="zh-CN"/>
              </w:rPr>
            </w:pPr>
            <w:r>
              <w:rPr>
                <w:rFonts w:hint="eastAsia" w:ascii="仿宋" w:hAnsi="仿宋" w:eastAsia="仿宋"/>
                <w:color w:val="auto"/>
                <w:sz w:val="24"/>
              </w:rPr>
              <w:t xml:space="preserve">    签发《审查意见书》，在2个工作日完成。</w:t>
            </w:r>
          </w:p>
        </w:tc>
        <w:tc>
          <w:tcPr>
            <w:tcW w:w="1698" w:type="dxa"/>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spacing w:line="400" w:lineRule="atLeast"/>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自窗口受理次日后第</w:t>
            </w:r>
            <w:r>
              <w:rPr>
                <w:rFonts w:hint="eastAsia" w:ascii="仿宋" w:hAnsi="仿宋" w:eastAsia="仿宋" w:cs="仿宋"/>
                <w:color w:val="auto"/>
                <w:kern w:val="0"/>
                <w:sz w:val="24"/>
                <w:lang w:val="en-US" w:eastAsia="zh-CN"/>
              </w:rPr>
              <w:t>7</w:t>
            </w:r>
            <w:r>
              <w:rPr>
                <w:rFonts w:hint="eastAsia" w:ascii="仿宋" w:hAnsi="仿宋" w:eastAsia="仿宋" w:cs="仿宋"/>
                <w:color w:val="auto"/>
                <w:kern w:val="0"/>
                <w:sz w:val="24"/>
                <w:lang w:val="zh-CN"/>
              </w:rPr>
              <w:t>个工作日完成</w:t>
            </w:r>
          </w:p>
        </w:tc>
      </w:tr>
      <w:tr>
        <w:tblPrEx>
          <w:tblLayout w:type="fixed"/>
          <w:tblCellMar>
            <w:top w:w="0" w:type="dxa"/>
            <w:left w:w="14" w:type="dxa"/>
            <w:bottom w:w="0" w:type="dxa"/>
            <w:right w:w="14" w:type="dxa"/>
          </w:tblCellMar>
        </w:tblPrEx>
        <w:trPr>
          <w:trHeight w:val="1110" w:hRule="atLeast"/>
        </w:trPr>
        <w:tc>
          <w:tcPr>
            <w:tcW w:w="1084" w:type="dxa"/>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spacing w:line="400" w:lineRule="atLeast"/>
              <w:jc w:val="center"/>
              <w:rPr>
                <w:rFonts w:hint="eastAsia" w:ascii="黑体" w:hAnsi="黑体" w:eastAsia="黑体" w:cs="黑体"/>
                <w:color w:val="auto"/>
                <w:kern w:val="0"/>
                <w:sz w:val="24"/>
                <w:lang w:val="zh-CN"/>
              </w:rPr>
            </w:pPr>
            <w:r>
              <w:rPr>
                <w:rFonts w:hint="eastAsia" w:ascii="黑体" w:hAnsi="黑体" w:eastAsia="黑体" w:cs="黑体"/>
                <w:color w:val="auto"/>
                <w:kern w:val="0"/>
                <w:sz w:val="24"/>
                <w:lang w:val="zh-CN"/>
              </w:rPr>
              <w:t>送  达</w:t>
            </w:r>
          </w:p>
        </w:tc>
        <w:tc>
          <w:tcPr>
            <w:tcW w:w="1501" w:type="dxa"/>
            <w:tcBorders>
              <w:top w:val="single" w:color="auto" w:sz="4" w:space="0"/>
              <w:left w:val="single" w:color="auto" w:sz="4" w:space="0"/>
              <w:bottom w:val="single" w:color="auto" w:sz="4" w:space="0"/>
              <w:right w:val="single" w:color="auto" w:sz="4" w:space="0"/>
            </w:tcBorders>
            <w:textDirection w:val="lrTb"/>
            <w:vAlign w:val="center"/>
          </w:tcPr>
          <w:p>
            <w:pPr>
              <w:adjustRightInd w:val="0"/>
              <w:snapToGrid w:val="0"/>
              <w:spacing w:line="280" w:lineRule="atLeast"/>
              <w:jc w:val="center"/>
              <w:rPr>
                <w:rFonts w:hint="eastAsia" w:ascii="仿宋" w:hAnsi="仿宋" w:eastAsia="仿宋" w:cs="仿宋"/>
                <w:color w:val="auto"/>
                <w:kern w:val="0"/>
                <w:sz w:val="24"/>
              </w:rPr>
            </w:pPr>
            <w:r>
              <w:rPr>
                <w:rFonts w:hint="eastAsia" w:ascii="仿宋" w:hAnsi="仿宋" w:eastAsia="仿宋" w:cs="仿宋"/>
                <w:color w:val="auto"/>
                <w:kern w:val="0"/>
                <w:sz w:val="24"/>
                <w:lang w:eastAsia="zh-CN"/>
              </w:rPr>
              <w:t>政</w:t>
            </w:r>
            <w:r>
              <w:rPr>
                <w:rFonts w:hint="eastAsia" w:ascii="仿宋" w:hAnsi="仿宋" w:eastAsia="仿宋" w:cs="仿宋"/>
                <w:color w:val="auto"/>
                <w:kern w:val="0"/>
                <w:sz w:val="24"/>
              </w:rPr>
              <w:t>务服务</w:t>
            </w:r>
          </w:p>
          <w:p>
            <w:pPr>
              <w:adjustRightInd w:val="0"/>
              <w:snapToGrid w:val="0"/>
              <w:spacing w:line="280" w:lineRule="atLeast"/>
              <w:jc w:val="center"/>
              <w:rPr>
                <w:rFonts w:hint="eastAsia" w:ascii="仿宋" w:hAnsi="仿宋" w:eastAsia="仿宋" w:cs="仿宋"/>
                <w:color w:val="auto"/>
                <w:kern w:val="0"/>
                <w:sz w:val="24"/>
              </w:rPr>
            </w:pPr>
            <w:r>
              <w:rPr>
                <w:rFonts w:hint="eastAsia" w:ascii="仿宋" w:hAnsi="仿宋" w:eastAsia="仿宋" w:cs="仿宋"/>
                <w:color w:val="auto"/>
                <w:kern w:val="0"/>
                <w:sz w:val="24"/>
              </w:rPr>
              <w:t>大厅窗口</w:t>
            </w:r>
          </w:p>
          <w:p>
            <w:pPr>
              <w:adjustRightInd w:val="0"/>
              <w:snapToGrid w:val="0"/>
              <w:spacing w:line="280" w:lineRule="atLeast"/>
              <w:jc w:val="both"/>
              <w:rPr>
                <w:rFonts w:hint="eastAsia" w:ascii="仿宋" w:hAnsi="仿宋" w:eastAsia="仿宋" w:cs="仿宋"/>
                <w:color w:val="auto"/>
                <w:kern w:val="0"/>
                <w:sz w:val="24"/>
              </w:rPr>
            </w:pPr>
            <w:r>
              <w:rPr>
                <w:rFonts w:hint="eastAsia" w:ascii="仿宋" w:hAnsi="仿宋" w:eastAsia="仿宋" w:cs="仿宋"/>
                <w:color w:val="auto"/>
                <w:kern w:val="0"/>
                <w:sz w:val="24"/>
                <w:lang w:eastAsia="zh-CN"/>
              </w:rPr>
              <w:t>王雪</w:t>
            </w:r>
            <w:r>
              <w:rPr>
                <w:rFonts w:hint="eastAsia" w:ascii="仿宋" w:hAnsi="仿宋" w:eastAsia="仿宋" w:cs="仿宋"/>
                <w:color w:val="auto"/>
                <w:kern w:val="0"/>
                <w:sz w:val="24"/>
              </w:rPr>
              <w:t>1</w:t>
            </w:r>
            <w:r>
              <w:rPr>
                <w:rFonts w:hint="eastAsia" w:ascii="仿宋" w:hAnsi="仿宋" w:eastAsia="仿宋" w:cs="仿宋"/>
                <w:color w:val="auto"/>
                <w:kern w:val="0"/>
                <w:sz w:val="24"/>
                <w:lang w:val="en-US" w:eastAsia="zh-CN"/>
              </w:rPr>
              <w:t>8995290286</w:t>
            </w:r>
          </w:p>
        </w:tc>
        <w:tc>
          <w:tcPr>
            <w:tcW w:w="4377" w:type="dxa"/>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spacing w:line="400" w:lineRule="atLeast"/>
              <w:ind w:firstLine="480" w:firstLineChars="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对批准申请收费备案或变更收费标准的民办非学历教育机构出具《办结通知书》，</w:t>
            </w:r>
            <w:r>
              <w:rPr>
                <w:rFonts w:hint="eastAsia" w:ascii="仿宋" w:hAnsi="仿宋" w:eastAsia="仿宋" w:cs="仿宋"/>
                <w:color w:val="auto"/>
                <w:sz w:val="24"/>
                <w:lang w:eastAsia="zh-CN"/>
              </w:rPr>
              <w:t>对不予批准的提出书面意见，由大厅窗口出具</w:t>
            </w:r>
            <w:r>
              <w:rPr>
                <w:rFonts w:hint="eastAsia" w:ascii="仿宋" w:hAnsi="仿宋" w:eastAsia="仿宋" w:cs="仿宋"/>
                <w:color w:val="auto"/>
                <w:kern w:val="0"/>
                <w:sz w:val="24"/>
                <w:lang w:val="zh-CN"/>
              </w:rPr>
              <w:t>《不予受理通知书》。</w:t>
            </w:r>
          </w:p>
        </w:tc>
        <w:tc>
          <w:tcPr>
            <w:tcW w:w="1698" w:type="dxa"/>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spacing w:line="400" w:lineRule="atLeast"/>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不计算在办理期限内 </w:t>
            </w:r>
          </w:p>
        </w:tc>
      </w:tr>
      <w:tr>
        <w:tblPrEx>
          <w:tblLayout w:type="fixed"/>
          <w:tblCellMar>
            <w:top w:w="0" w:type="dxa"/>
            <w:left w:w="14" w:type="dxa"/>
            <w:bottom w:w="0" w:type="dxa"/>
            <w:right w:w="14" w:type="dxa"/>
          </w:tblCellMar>
        </w:tblPrEx>
        <w:trPr>
          <w:trHeight w:val="1392" w:hRule="atLeast"/>
        </w:trPr>
        <w:tc>
          <w:tcPr>
            <w:tcW w:w="1084" w:type="dxa"/>
            <w:tcBorders>
              <w:top w:val="single" w:color="auto" w:sz="4" w:space="0"/>
              <w:left w:val="single" w:color="000000" w:sz="2" w:space="0"/>
              <w:bottom w:val="single" w:color="000000" w:sz="2" w:space="0"/>
              <w:right w:val="single" w:color="auto" w:sz="4"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color w:val="000000"/>
                <w:kern w:val="0"/>
                <w:sz w:val="24"/>
                <w:lang w:val="zh-CN"/>
              </w:rPr>
              <w:t>备  注</w:t>
            </w:r>
          </w:p>
        </w:tc>
        <w:tc>
          <w:tcPr>
            <w:tcW w:w="7576" w:type="dxa"/>
            <w:gridSpan w:val="3"/>
            <w:tcBorders>
              <w:top w:val="single" w:color="auto" w:sz="4" w:space="0"/>
              <w:left w:val="single" w:color="auto" w:sz="4" w:space="0"/>
              <w:bottom w:val="single" w:color="000000" w:sz="2" w:space="0"/>
              <w:right w:val="single" w:color="000000" w:sz="2" w:space="0"/>
            </w:tcBorders>
            <w:vAlign w:val="center"/>
          </w:tcPr>
          <w:p>
            <w:pPr>
              <w:numPr>
                <w:ilvl w:val="0"/>
                <w:numId w:val="1"/>
              </w:numPr>
              <w:autoSpaceDE w:val="0"/>
              <w:autoSpaceDN w:val="0"/>
              <w:adjustRightInd w:val="0"/>
              <w:snapToGrid w:val="0"/>
              <w:spacing w:line="400" w:lineRule="atLeas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法定办理期限为</w:t>
            </w:r>
            <w:r>
              <w:rPr>
                <w:rFonts w:hint="eastAsia" w:ascii="仿宋" w:hAnsi="仿宋" w:eastAsia="仿宋" w:cs="仿宋"/>
                <w:kern w:val="0"/>
                <w:sz w:val="24"/>
                <w:lang w:val="en-US" w:eastAsia="zh-CN"/>
              </w:rPr>
              <w:t>x</w:t>
            </w:r>
            <w:r>
              <w:rPr>
                <w:rFonts w:hint="eastAsia" w:ascii="仿宋" w:hAnsi="仿宋" w:eastAsia="仿宋" w:cs="仿宋"/>
                <w:color w:val="000000"/>
                <w:kern w:val="0"/>
                <w:sz w:val="24"/>
                <w:lang w:val="zh-CN"/>
              </w:rPr>
              <w:t>个工作日，承诺办理期限为</w:t>
            </w:r>
            <w:r>
              <w:rPr>
                <w:rFonts w:hint="eastAsia" w:ascii="仿宋" w:hAnsi="仿宋" w:eastAsia="仿宋" w:cs="仿宋"/>
                <w:kern w:val="0"/>
                <w:sz w:val="24"/>
                <w:lang w:val="en-US" w:eastAsia="zh-CN"/>
              </w:rPr>
              <w:t>x</w:t>
            </w:r>
            <w:r>
              <w:rPr>
                <w:rFonts w:hint="eastAsia" w:ascii="仿宋" w:hAnsi="仿宋" w:eastAsia="仿宋" w:cs="仿宋"/>
                <w:color w:val="000000"/>
                <w:kern w:val="0"/>
                <w:sz w:val="24"/>
                <w:lang w:val="zh-CN"/>
              </w:rPr>
              <w:t>个工作日。</w:t>
            </w:r>
          </w:p>
          <w:p>
            <w:pPr>
              <w:numPr>
                <w:ilvl w:val="0"/>
                <w:numId w:val="1"/>
              </w:numPr>
              <w:autoSpaceDE w:val="0"/>
              <w:autoSpaceDN w:val="0"/>
              <w:adjustRightInd w:val="0"/>
              <w:snapToGrid w:val="0"/>
              <w:spacing w:line="400" w:lineRule="atLeas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注：1.每项公共服务事项均按照实际办理情况，按程序以此填入本表。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right="0" w:right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2.“办理时限“是指每一个环节所用时限，承诺办理期限是指本事项办理的总时限。</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leftChars="200" w:right="0" w:right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3.本表与附件3配套使用。</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仿宋">
    <w:altName w:val="宋体"/>
    <w:panose1 w:val="02010609060101010101"/>
    <w:charset w:val="86"/>
    <w:family w:val="modern"/>
    <w:pitch w:val="default"/>
    <w:sig w:usb0="00000000" w:usb1="00000000"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仿宋">
    <w:altName w:val="仿宋_GB2312"/>
    <w:panose1 w:val="00000000000000000000"/>
    <w:charset w:val="00"/>
    <w:family w:val="auto"/>
    <w:pitch w:val="default"/>
    <w:sig w:usb0="00000000" w:usb1="00000000" w:usb2="00000000" w:usb3="00000000" w:csb0="00000000" w:csb1="00000000"/>
  </w:font>
  <w:font w:name="微软雅黑">
    <w:altName w:val="黑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8328D7"/>
    <w:rsid w:val="0E8328D7"/>
    <w:rsid w:val="3E6D03A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2016-11-03T08:27:00Z</dcterms:created>
  <dc:creator>Administrator</dc:creator>
  <cp:lastModifiedBy>Administrator</cp:lastModifiedBy>
  <dcterms:modified xsi:type="dcterms:W3CDTF">2016-11-03T09:54:49Z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