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ind w:left="0" w:leftChars="0" w:right="0" w:rightChars="0" w:firstLine="0" w:firstLineChars="0"/>
        <w:jc w:val="center"/>
        <w:rPr>
          <w:rFonts w:hint="eastAsia" w:ascii="方正小标宋简体" w:hAnsi="方正小标宋简体" w:eastAsia="方正小标宋简体" w:cs="方正小标宋简体"/>
          <w:sz w:val="44"/>
          <w:szCs w:val="44"/>
        </w:rPr>
      </w:pPr>
    </w:p>
    <w:p>
      <w:pPr>
        <w:ind w:left="0" w:leftChars="0" w:right="0" w:rightChars="0" w:firstLine="0" w:firstLineChars="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2016年财政绩效评价工作总结</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2016年，绩效评价工作在上级财政部门的领导下，按照财政厅2016年财政工作任务和2016年绩效评价工作要点的要求，在研究和探索建立“财政支出绩效评价体系”和“行政事业单位资产管理体制”工作框架，扎实推动财政支出绩效评价、行政事业单位资产管理和事业单位改革等方面，较好地完成了各项任务。</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一、财政支出绩效评价工作</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2016年，财政支出绩效评价工作全面推开，以研究建立财政支出绩效评价指标体系和机制框架、出台财政支出绩效评价办法、组织实施财政支出绩效评价工作为重点，扩大了试点，实现了新突破。主要完成了以下工作：</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1．制定了《大武口区支出绩效评价办法》（试行）。办法着重在财政支出绩效评价遵循的工作原则，组织与管理形式，评价对象、内容、方法和程序，以及评价结果应用等方面作了具体规定。</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2．开展了劳务移民财政支出绩效评价工作</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截至2016年，大武口区财政劳务移民项目实际到位资金36609. 37万元，其中： 中央及自治区补助资金21436. 4 万元、市县财政资金10237 万元、移民自筹2145. 28 万元、社会捐助1722 万元、其他项目整合资金等1068. 69 万元。实际支出33975. 97万元。大武口区搬迁安置劳务移民2520 户，完成了自治区下达的“十二五”目标任务。通过搬迁，移民的居住条件和生活条件、教育条件等都得到了较大改善。累计培训移民6801 人次，完成计划任务1700人次的400%。通过培训，使移民掌握了一技之长，促进了移民从农民向产业工人的转变，收入结构也向多渠道转变。移民创业实体达45 户，星海镇被命名为 “宁夏生态移民创业就业示范基地”。进一步加强了对移民的管理，移民生活基本稳定。</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3.开展了最低生活保障财政支出绩效评价工作，进展顺利。年初，会同区民政局开展了最低生活保障财政支出绩效评价工作。按照自治区《最低生孩保障工作绩效考评办法》的具体要求，通过查阅档案资料，实地走访，对低保政策落实情况和资金支付情况进行实地核查。</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4.开展了基本公共卫生服务项目财政支出绩效评价工作。3月份，会同区卫计局开展了基本公共卫生服务项目财政支出绩效评价工作，通过检查，我区对基本公共服务项目工作十分重视，项目管理制度比较健全，措施完善有效，服务质量明显提高，群众满意度较往年有所提升。</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5.行政事业单位资产管理工作</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以贯彻实施“行政事业单位资产管理暂行办法”加强制度规范为重点，结合行政事业单位资产清查工作，有序推进各项工作。结合我区实际，制定了《大武口区行政单位国有资产管理办法》，多次征求部门、专家和厅相关处室意见，目前，我省“两个办法”正在研究签发中，即将出台。</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 积极开展“两项清理”的准备工作。</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1）“经营性资产”清理工作：组织开展了“省级行政事业单位经营性资产清理”的准备工作，主要开展了四项工作：一是开展了工作调研；二是起草了开展清理工作的具体意见和实施方案及文件通知，并与省管理局一起向省政府作了汇报；三是设计了清理报表；四是组织研发了资产清理软件"www.ZHlZW.com"。在组织准备过程中，我处多次与省管理局沟通、协商，催促其与省政府联络，争取尽早部署。有关准备工作已全部就绪，将由省政府批准后统一组织实施。</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非经营性资产”清理工作：根据财政部拟在全国统一开展行政事业单位国有资产清查工作的要求。对开展“省级及全省行政事业单位工作国有资产的全面清理”进行了相关准备。开展了三项工作：一是今年年初已着手组织对行政事业单位国有资产分类目录和标准进行修订；二是为研究制定省级行政单位实物资产配置定额标准，与厅预算审核中心共同开展了调研；三是进行了“资产清查”工作调研，积极为财政部全国行政事业单位资产清查工作方案提供意见和建议。</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 xml:space="preserve"> 二、存在问题</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 xml:space="preserve"> 1.移民产业发展项目单一，资金使用率较低，未发挥应有的作用。2013 年底，由市财政拨入大武口区移民产业发展资金900万元。40万元用于发放移民创业房屋补贴，区就业服务局发放45 家移民创业实体店房屋补贴97000 元，用于产业发展资金占拨入总额的4%，实际补贴金额占区财政拨款金额的24%。存在产业发展</w:t>
      </w:r>
      <w:bookmarkStart w:id="0" w:name="_GoBack"/>
      <w:bookmarkEnd w:id="0"/>
      <w:r>
        <w:rPr>
          <w:rFonts w:hint="default" w:ascii="微软雅黑" w:hAnsi="微软雅黑" w:eastAsia="仿宋_GB2312" w:cs="微软雅黑"/>
          <w:b w:val="0"/>
          <w:i w:val="0"/>
          <w:caps w:val="0"/>
          <w:color w:val="434343"/>
          <w:spacing w:val="0"/>
          <w:kern w:val="0"/>
          <w:sz w:val="32"/>
          <w:szCs w:val="21"/>
          <w:shd w:val="clear" w:color="auto" w:fill="FFFFFF"/>
          <w:lang w:val="en" w:eastAsia="zh-CN" w:bidi="ar"/>
        </w:rPr>
        <w:t>项目</w:t>
      </w: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单一，资金使用率较低，未发挥应有作用的问题。</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2.我区部分基层医疗卫生机构未能充分使用补助资金，资金支付率较低，影响资金使用绩效。</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3.最低生活保障资金未足额配备工作经费，导致相关工作推进不力。</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三、下一步措施</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1.针对移民产业发展项目单一的问题，我区将多方采取措施，发展移民产业，增加移民收入，实现移民“搬得进、稳得住、能致富”的目标。</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2.针对基层医疗卫生机构资金支付较低的问题，我区责成相关部门结合工作实际，加强对资金使用进度的督导检查，缩短资金拨付周期，保证资金及时拨付基层，落实服务。</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r>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t>3.针对最低生活保障资金未配套的问题，我局积极筹措资金，通过化解存量、压缩其他支出等方式，将缺口资金拨付到位，并列入明年的财政预算。</w:t>
      </w:r>
    </w:p>
    <w:p>
      <w:pPr>
        <w:ind w:firstLine="640" w:firstLineChars="200"/>
        <w:rPr>
          <w:rFonts w:hint="eastAsia" w:ascii="微软雅黑" w:hAnsi="微软雅黑" w:eastAsia="仿宋_GB2312" w:cs="微软雅黑"/>
          <w:b w:val="0"/>
          <w:i w:val="0"/>
          <w:caps w:val="0"/>
          <w:color w:val="434343"/>
          <w:spacing w:val="0"/>
          <w:kern w:val="0"/>
          <w:sz w:val="32"/>
          <w:szCs w:val="21"/>
          <w:shd w:val="clear" w:color="auto" w:fill="FFFFFF"/>
          <w:lang w:val="en-US" w:eastAsia="zh-CN" w:bidi="ar"/>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204020204"/>
    <w:charset w:val="00"/>
    <w:family w:val="auto"/>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eastAsia" w:eastAsia="宋体"/>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5FFB4FB5"/>
    <w:rsid w:val="73EA8DB3"/>
    <w:rsid w:val="8BED0FF8"/>
    <w:rsid w:val="AFDFF9D7"/>
    <w:rsid w:val="BFE7A96E"/>
    <w:rsid w:val="F7BFB6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uiPriority w:val="0"/>
    <w:pPr>
      <w:ind w:firstLine="420" w:firstLineChars="200"/>
    </w:pPr>
  </w:style>
  <w:style w:type="paragraph" w:styleId="3">
    <w:name w:val="Body Text Indent"/>
    <w:basedOn w:val="1"/>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kylin/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Company>zhxd</Company>
  <Pages>1</Pages>
  <Words>0</Words>
  <Characters>0</Characters>
  <Lines>0</Lines>
  <Paragraphs>0</Paragraphs>
  <TotalTime>3</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2016-12-15T15:44:00Z</dcterms:created>
  <dc:creator>Administrator</dc:creator>
  <cp:lastModifiedBy>kylin</cp:lastModifiedBy>
  <cp:lastPrinted>2018-01-08T17:40:00Z</cp:lastPrinted>
  <dcterms:modified xsi:type="dcterms:W3CDTF">2023-10-31T10:07:32Z</dcterms:modified>
  <dc:title>2016年财政绩效评价工作总结</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