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000000"/>
        <w:autoSpaceDN w:val="0"/>
        <w:spacing w:line="580" w:lineRule="exact"/>
        <w:jc w:val="center"/>
        <w:rPr>
          <w:rFonts w:eastAsia="方正小标宋简体"/>
          <w:color w:val="auto"/>
          <w:sz w:val="44"/>
          <w:szCs w:val="44"/>
          <w:shd w:val="clear" w:color="auto" w:fill="FFFFFF"/>
        </w:rPr>
      </w:pPr>
      <w:r>
        <w:rPr>
          <w:rFonts w:eastAsia="方正小标宋简体"/>
          <w:color w:val="auto"/>
          <w:sz w:val="44"/>
          <w:szCs w:val="44"/>
          <w:shd w:val="clear" w:color="auto" w:fill="FFFFFF"/>
        </w:rPr>
        <w:t>大武口区</w:t>
      </w:r>
      <w:r>
        <w:rPr>
          <w:rFonts w:hint="eastAsia" w:eastAsia="方正小标宋简体"/>
          <w:color w:val="auto"/>
          <w:sz w:val="44"/>
          <w:szCs w:val="44"/>
          <w:shd w:val="clear" w:color="auto" w:fill="FFFFFF"/>
        </w:rPr>
        <w:t>乌玛高速</w:t>
      </w:r>
      <w:r>
        <w:rPr>
          <w:rFonts w:eastAsia="方正小标宋简体"/>
          <w:color w:val="auto"/>
          <w:sz w:val="44"/>
          <w:szCs w:val="44"/>
          <w:shd w:val="clear" w:color="auto" w:fill="FFFFFF"/>
        </w:rPr>
        <w:t>项目</w:t>
      </w:r>
      <w:r>
        <w:rPr>
          <w:rFonts w:hint="eastAsia" w:eastAsia="方正小标宋简体"/>
          <w:color w:val="auto"/>
          <w:sz w:val="44"/>
          <w:szCs w:val="44"/>
          <w:shd w:val="clear" w:color="auto" w:fill="FFFFFF"/>
        </w:rPr>
        <w:t>建设</w:t>
      </w:r>
      <w:r>
        <w:rPr>
          <w:rFonts w:eastAsia="方正小标宋简体"/>
          <w:color w:val="auto"/>
          <w:sz w:val="44"/>
          <w:szCs w:val="44"/>
          <w:shd w:val="clear" w:color="auto" w:fill="FFFFFF"/>
        </w:rPr>
        <w:t>房屋</w:t>
      </w:r>
    </w:p>
    <w:p>
      <w:pPr>
        <w:widowControl/>
        <w:shd w:val="solid" w:color="FFFFFF" w:fill="000000"/>
        <w:autoSpaceDN w:val="0"/>
        <w:spacing w:line="580" w:lineRule="exact"/>
        <w:jc w:val="center"/>
        <w:rPr>
          <w:rFonts w:eastAsia="方正小标宋简体"/>
          <w:color w:val="auto"/>
          <w:sz w:val="44"/>
          <w:szCs w:val="44"/>
          <w:shd w:val="clear" w:color="auto" w:fill="FFFFFF"/>
        </w:rPr>
      </w:pPr>
      <w:r>
        <w:rPr>
          <w:rFonts w:eastAsia="方正小标宋简体"/>
          <w:color w:val="auto"/>
          <w:sz w:val="44"/>
          <w:szCs w:val="44"/>
          <w:shd w:val="clear" w:color="auto" w:fill="FFFFFF"/>
        </w:rPr>
        <w:t>征收</w:t>
      </w:r>
      <w:r>
        <w:rPr>
          <w:rFonts w:hint="eastAsia" w:eastAsia="方正小标宋简体"/>
          <w:color w:val="auto"/>
          <w:sz w:val="44"/>
          <w:szCs w:val="44"/>
          <w:shd w:val="clear" w:color="auto" w:fill="FFFFFF"/>
        </w:rPr>
        <w:t>与</w:t>
      </w:r>
      <w:r>
        <w:rPr>
          <w:rFonts w:eastAsia="方正小标宋简体"/>
          <w:color w:val="auto"/>
          <w:sz w:val="44"/>
          <w:szCs w:val="44"/>
          <w:shd w:val="clear" w:color="auto" w:fill="FFFFFF"/>
        </w:rPr>
        <w:t>补偿方案</w:t>
      </w:r>
    </w:p>
    <w:p>
      <w:pPr>
        <w:shd w:val="solid" w:color="FFFFFF" w:fill="000000"/>
        <w:autoSpaceDN w:val="0"/>
        <w:spacing w:line="500" w:lineRule="exact"/>
        <w:rPr>
          <w:rFonts w:eastAsia="楷体_GB2312"/>
          <w:b/>
          <w:bCs/>
          <w:color w:val="auto"/>
          <w:sz w:val="32"/>
          <w:szCs w:val="32"/>
          <w:shd w:val="solid" w:color="FFFFFF" w:fill="080000"/>
        </w:rPr>
      </w:pP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乌海至玛沁高速公路惠农（蒙宁界）至石嘴山段项目是国家重点建设项目，为确保乌玛高速公路（大武口段）工程建设顺利进行，大武口区人民政府决定实施乌玛高速公路项目占用地范围内国有土地上的房屋征收，现就房屋征收</w:t>
      </w:r>
      <w:r>
        <w:rPr>
          <w:rFonts w:hint="eastAsia" w:ascii="仿宋_GB2312" w:hAnsi="仿宋_GB2312" w:eastAsia="仿宋_GB2312" w:cs="仿宋_GB2312"/>
          <w:color w:val="auto"/>
          <w:sz w:val="32"/>
          <w:szCs w:val="32"/>
          <w:shd w:val="clear" w:color="auto" w:fill="FFFFFF"/>
          <w:lang w:eastAsia="zh-CN"/>
        </w:rPr>
        <w:t>与补偿事宜</w:t>
      </w:r>
      <w:r>
        <w:rPr>
          <w:rFonts w:hint="eastAsia" w:ascii="仿宋_GB2312" w:hAnsi="仿宋_GB2312" w:eastAsia="仿宋_GB2312" w:cs="仿宋_GB2312"/>
          <w:color w:val="auto"/>
          <w:sz w:val="32"/>
          <w:szCs w:val="32"/>
          <w:shd w:val="clear" w:color="auto" w:fill="FFFFFF"/>
        </w:rPr>
        <w:t>制定本方案。</w:t>
      </w:r>
    </w:p>
    <w:p>
      <w:pPr>
        <w:shd w:val="solid" w:color="FFFFFF" w:fill="000000"/>
        <w:autoSpaceDN w:val="0"/>
        <w:spacing w:line="580" w:lineRule="exact"/>
        <w:ind w:firstLine="640" w:firstLineChars="200"/>
        <w:rPr>
          <w:rFonts w:ascii="黑体" w:hAnsi="黑体" w:eastAsia="黑体" w:cs="黑体"/>
          <w:bCs/>
          <w:color w:val="auto"/>
          <w:sz w:val="32"/>
          <w:szCs w:val="32"/>
          <w:shd w:val="clear" w:color="auto" w:fill="000000"/>
        </w:rPr>
      </w:pPr>
      <w:r>
        <w:rPr>
          <w:rFonts w:hint="eastAsia" w:ascii="黑体" w:hAnsi="黑体" w:eastAsia="黑体" w:cs="黑体"/>
          <w:bCs/>
          <w:color w:val="auto"/>
          <w:kern w:val="0"/>
          <w:sz w:val="32"/>
          <w:szCs w:val="32"/>
          <w:shd w:val="clear" w:color="auto" w:fill="FFFFFF"/>
        </w:rPr>
        <w:t>一、征收范围及依据</w:t>
      </w:r>
    </w:p>
    <w:p>
      <w:pPr>
        <w:widowControl/>
        <w:shd w:val="solid" w:color="FFFFFF" w:fill="auto"/>
        <w:autoSpaceDN w:val="0"/>
        <w:spacing w:line="580" w:lineRule="exact"/>
        <w:ind w:firstLine="643" w:firstLineChars="200"/>
        <w:rPr>
          <w:rFonts w:ascii="仿宋" w:hAnsi="仿宋" w:eastAsia="仿宋" w:cs="仿宋"/>
          <w:color w:val="auto"/>
          <w:sz w:val="32"/>
          <w:szCs w:val="32"/>
          <w:shd w:val="clear" w:color="auto" w:fill="FFFFFF"/>
        </w:rPr>
      </w:pPr>
      <w:r>
        <w:rPr>
          <w:rFonts w:hint="eastAsia" w:ascii="楷体_GB2312" w:hAnsi="楷体_GB2312" w:eastAsia="楷体_GB2312" w:cs="楷体_GB2312"/>
          <w:b/>
          <w:color w:val="auto"/>
          <w:kern w:val="0"/>
          <w:sz w:val="32"/>
          <w:szCs w:val="32"/>
          <w:shd w:val="clear" w:color="auto" w:fill="FFFFFF"/>
        </w:rPr>
        <w:t>1.征收范围：</w:t>
      </w:r>
      <w:r>
        <w:rPr>
          <w:rFonts w:hint="eastAsia" w:ascii="仿宋_GB2312" w:hAnsi="仿宋_GB2312" w:eastAsia="仿宋_GB2312" w:cs="仿宋_GB2312"/>
          <w:color w:val="auto"/>
          <w:sz w:val="32"/>
          <w:szCs w:val="32"/>
          <w:shd w:val="clear" w:color="auto" w:fill="FFFFFF"/>
        </w:rPr>
        <w:t>乌玛高速公路项目占用地大武口区范围内国有土地上的建筑及房屋（以实际征收范围内名单为准）。</w:t>
      </w:r>
    </w:p>
    <w:p>
      <w:pPr>
        <w:shd w:val="solid" w:color="FFFFFF" w:fill="000000"/>
        <w:autoSpaceDN w:val="0"/>
        <w:spacing w:line="580" w:lineRule="exact"/>
        <w:ind w:firstLine="643" w:firstLineChars="200"/>
        <w:rPr>
          <w:rFonts w:ascii="仿宋" w:hAnsi="仿宋" w:eastAsia="仿宋" w:cs="仿宋"/>
          <w:color w:val="auto"/>
          <w:sz w:val="32"/>
          <w:szCs w:val="32"/>
          <w:shd w:val="clear" w:color="auto" w:fill="000000"/>
        </w:rPr>
      </w:pPr>
      <w:r>
        <w:rPr>
          <w:rFonts w:hint="eastAsia" w:ascii="楷体_GB2312" w:hAnsi="楷体_GB2312" w:eastAsia="楷体_GB2312" w:cs="楷体_GB2312"/>
          <w:b/>
          <w:color w:val="auto"/>
          <w:kern w:val="0"/>
          <w:sz w:val="32"/>
          <w:szCs w:val="32"/>
          <w:shd w:val="clear" w:color="auto" w:fill="FFFFFF"/>
        </w:rPr>
        <w:t>2.征收依据：</w:t>
      </w:r>
      <w:r>
        <w:rPr>
          <w:rFonts w:hint="eastAsia" w:ascii="仿宋_GB2312" w:hAnsi="仿宋_GB2312" w:eastAsia="仿宋_GB2312" w:cs="仿宋_GB2312"/>
          <w:color w:val="auto"/>
          <w:sz w:val="32"/>
          <w:szCs w:val="32"/>
          <w:shd w:val="clear" w:color="auto" w:fill="FFFFFF"/>
        </w:rPr>
        <w:t>《国有土地上房屋征收与补偿条例》（国务院</w:t>
      </w:r>
      <w:r>
        <w:rPr>
          <w:rFonts w:hint="eastAsia" w:ascii="仿宋_GB2312" w:hAnsi="仿宋_GB2312" w:eastAsia="仿宋_GB2312" w:cs="仿宋_GB2312"/>
          <w:color w:val="auto"/>
          <w:sz w:val="32"/>
          <w:szCs w:val="32"/>
          <w:shd w:val="clear" w:color="auto" w:fill="FFFFFF"/>
          <w:lang w:eastAsia="zh-CN"/>
        </w:rPr>
        <w:t>令</w:t>
      </w:r>
      <w:r>
        <w:rPr>
          <w:rFonts w:hint="eastAsia" w:ascii="仿宋_GB2312" w:hAnsi="仿宋_GB2312" w:eastAsia="仿宋_GB2312" w:cs="仿宋_GB2312"/>
          <w:color w:val="auto"/>
          <w:sz w:val="32"/>
          <w:szCs w:val="32"/>
          <w:shd w:val="clear" w:color="auto" w:fill="FFFFFF"/>
        </w:rPr>
        <w:t>第590号）、《宁夏回族自治区实施&lt;国有土地上房屋征收与补偿条例&gt;办法》（宁夏回族自治区人民政府令第</w:t>
      </w:r>
      <w:r>
        <w:rPr>
          <w:rFonts w:hint="eastAsia" w:eastAsia="仿宋_GB2312"/>
          <w:color w:val="auto"/>
          <w:sz w:val="32"/>
          <w:szCs w:val="32"/>
          <w:shd w:val="clear" w:color="auto" w:fill="FFFFFF"/>
        </w:rPr>
        <w:t>62</w:t>
      </w:r>
      <w:r>
        <w:rPr>
          <w:rFonts w:hint="eastAsia" w:ascii="仿宋_GB2312" w:hAnsi="仿宋_GB2312" w:eastAsia="仿宋_GB2312" w:cs="仿宋_GB2312"/>
          <w:color w:val="auto"/>
          <w:sz w:val="32"/>
          <w:szCs w:val="32"/>
          <w:shd w:val="clear" w:color="auto" w:fill="FFFFFF"/>
        </w:rPr>
        <w:t>号）。</w:t>
      </w:r>
    </w:p>
    <w:p>
      <w:pPr>
        <w:shd w:val="solid" w:color="FFFFFF" w:fill="000000"/>
        <w:autoSpaceDN w:val="0"/>
        <w:spacing w:line="580" w:lineRule="exact"/>
        <w:ind w:firstLine="640" w:firstLineChars="200"/>
        <w:rPr>
          <w:rFonts w:ascii="黑体" w:hAnsi="黑体" w:eastAsia="黑体" w:cs="黑体"/>
          <w:bCs/>
          <w:color w:val="auto"/>
          <w:sz w:val="32"/>
          <w:szCs w:val="32"/>
          <w:shd w:val="clear" w:color="auto" w:fill="000000"/>
        </w:rPr>
      </w:pPr>
      <w:r>
        <w:rPr>
          <w:rFonts w:hint="eastAsia" w:ascii="黑体" w:hAnsi="黑体" w:eastAsia="黑体" w:cs="黑体"/>
          <w:bCs/>
          <w:color w:val="auto"/>
          <w:kern w:val="0"/>
          <w:sz w:val="32"/>
          <w:szCs w:val="32"/>
          <w:shd w:val="clear" w:color="auto" w:fill="FFFFFF"/>
        </w:rPr>
        <w:t>二、征收目的</w:t>
      </w:r>
    </w:p>
    <w:p>
      <w:pPr>
        <w:widowControl/>
        <w:shd w:val="solid" w:color="FFFFFF" w:fill="auto"/>
        <w:autoSpaceDN w:val="0"/>
        <w:spacing w:line="580" w:lineRule="exact"/>
        <w:ind w:firstLine="640" w:firstLineChars="200"/>
        <w:rPr>
          <w:rFonts w:ascii="仿宋" w:hAnsi="仿宋" w:eastAsia="仿宋" w:cs="仿宋"/>
          <w:color w:val="auto"/>
          <w:sz w:val="32"/>
          <w:szCs w:val="32"/>
          <w:shd w:val="clear" w:color="auto" w:fill="000000"/>
        </w:rPr>
      </w:pPr>
      <w:r>
        <w:rPr>
          <w:rFonts w:hint="eastAsia" w:ascii="仿宋" w:hAnsi="仿宋" w:eastAsia="仿宋" w:cs="仿宋"/>
          <w:color w:val="auto"/>
          <w:kern w:val="0"/>
          <w:sz w:val="32"/>
          <w:szCs w:val="32"/>
        </w:rPr>
        <w:t>为了公共利益需要，</w:t>
      </w:r>
      <w:r>
        <w:rPr>
          <w:rFonts w:hint="eastAsia" w:ascii="仿宋" w:hAnsi="仿宋" w:eastAsia="仿宋" w:cs="仿宋"/>
          <w:color w:val="auto"/>
          <w:sz w:val="32"/>
          <w:szCs w:val="32"/>
          <w:shd w:val="clear" w:color="auto" w:fill="FFFFFF"/>
        </w:rPr>
        <w:t>确保乌玛高速公路（大武口段）工程建设顺利进行</w:t>
      </w:r>
      <w:r>
        <w:rPr>
          <w:rFonts w:hint="eastAsia" w:ascii="仿宋_GB2312" w:hAnsi="仿宋_GB2312" w:eastAsia="仿宋_GB2312" w:cs="仿宋_GB2312"/>
          <w:color w:val="auto"/>
          <w:sz w:val="32"/>
          <w:szCs w:val="32"/>
          <w:shd w:val="clear" w:color="auto" w:fill="FFFFFF"/>
        </w:rPr>
        <w:t>。</w:t>
      </w:r>
    </w:p>
    <w:p>
      <w:pPr>
        <w:shd w:val="solid" w:color="FFFFFF" w:fill="000000"/>
        <w:autoSpaceDN w:val="0"/>
        <w:spacing w:line="580" w:lineRule="exact"/>
        <w:ind w:firstLine="640" w:firstLineChars="200"/>
        <w:rPr>
          <w:rFonts w:ascii="仿宋" w:hAnsi="仿宋" w:eastAsia="仿宋" w:cs="仿宋"/>
          <w:color w:val="auto"/>
          <w:sz w:val="32"/>
          <w:szCs w:val="32"/>
          <w:shd w:val="clear" w:color="auto" w:fill="000000"/>
        </w:rPr>
      </w:pPr>
      <w:r>
        <w:rPr>
          <w:rFonts w:hint="eastAsia" w:ascii="黑体" w:hAnsi="黑体" w:eastAsia="黑体" w:cs="黑体"/>
          <w:bCs/>
          <w:color w:val="auto"/>
          <w:kern w:val="0"/>
          <w:sz w:val="32"/>
          <w:szCs w:val="32"/>
          <w:shd w:val="clear" w:color="auto" w:fill="FFFFFF"/>
        </w:rPr>
        <w:t>三、征收原则</w:t>
      </w:r>
    </w:p>
    <w:p>
      <w:pPr>
        <w:shd w:val="solid" w:color="FFFFFF" w:fill="auto"/>
        <w:autoSpaceDN w:val="0"/>
        <w:spacing w:line="580" w:lineRule="exact"/>
        <w:ind w:firstLine="643" w:firstLineChars="200"/>
        <w:rPr>
          <w:rFonts w:ascii="仿宋" w:hAnsi="仿宋" w:eastAsia="仿宋" w:cs="仿宋"/>
          <w:color w:val="auto"/>
          <w:sz w:val="32"/>
          <w:szCs w:val="32"/>
          <w:shd w:val="clear" w:color="auto" w:fill="FFFFFF"/>
        </w:rPr>
      </w:pPr>
      <w:r>
        <w:rPr>
          <w:rFonts w:hint="eastAsia" w:ascii="楷体_GB2312" w:hAnsi="楷体_GB2312" w:eastAsia="楷体_GB2312" w:cs="楷体_GB2312"/>
          <w:b/>
          <w:color w:val="auto"/>
          <w:kern w:val="0"/>
          <w:sz w:val="32"/>
          <w:szCs w:val="32"/>
          <w:shd w:val="clear" w:color="auto" w:fill="FFFFFF"/>
        </w:rPr>
        <w:t>（一）以人为本、整体参与。</w:t>
      </w:r>
      <w:r>
        <w:rPr>
          <w:rFonts w:hint="eastAsia" w:ascii="仿宋_GB2312" w:hAnsi="仿宋_GB2312" w:eastAsia="仿宋_GB2312" w:cs="仿宋_GB2312"/>
          <w:color w:val="auto"/>
          <w:sz w:val="32"/>
          <w:szCs w:val="32"/>
          <w:shd w:val="clear" w:color="auto" w:fill="FFFFFF"/>
        </w:rPr>
        <w:t>以广大被征收群众的利益为重，坚持被征收人整体参与的原则，确保征收工作平稳有序推进。</w:t>
      </w:r>
    </w:p>
    <w:p>
      <w:pPr>
        <w:shd w:val="solid" w:color="FFFFFF" w:fill="auto"/>
        <w:autoSpaceDN w:val="0"/>
        <w:spacing w:line="580" w:lineRule="exact"/>
        <w:ind w:firstLine="643" w:firstLineChars="200"/>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color w:val="auto"/>
          <w:kern w:val="0"/>
          <w:sz w:val="32"/>
          <w:szCs w:val="32"/>
          <w:shd w:val="clear" w:color="auto" w:fill="FFFFFF"/>
        </w:rPr>
        <w:t>（二）依法征收、合理补偿。</w:t>
      </w:r>
      <w:r>
        <w:rPr>
          <w:rFonts w:hint="eastAsia" w:ascii="仿宋_GB2312" w:hAnsi="仿宋_GB2312" w:eastAsia="仿宋_GB2312" w:cs="仿宋_GB2312"/>
          <w:color w:val="auto"/>
          <w:sz w:val="32"/>
          <w:szCs w:val="32"/>
          <w:shd w:val="clear" w:color="auto" w:fill="FFFFFF"/>
        </w:rPr>
        <w:t>充分考虑被征收片区实际情况，尊重历史，确保被征收人合法权益，维护公共利益，坚持依法征收，合理补偿的原则。</w:t>
      </w:r>
    </w:p>
    <w:p>
      <w:pPr>
        <w:shd w:val="solid" w:color="FFFFFF" w:fill="auto"/>
        <w:autoSpaceDN w:val="0"/>
        <w:spacing w:line="580" w:lineRule="exact"/>
        <w:ind w:firstLine="643" w:firstLineChars="200"/>
        <w:rPr>
          <w:rFonts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color w:val="auto"/>
          <w:kern w:val="0"/>
          <w:sz w:val="32"/>
          <w:szCs w:val="32"/>
          <w:shd w:val="clear" w:color="auto" w:fill="FFFFFF"/>
        </w:rPr>
        <w:t>（三）严格程序、接受监督。</w:t>
      </w:r>
      <w:r>
        <w:rPr>
          <w:rFonts w:hint="eastAsia" w:ascii="仿宋_GB2312" w:hAnsi="仿宋_GB2312" w:eastAsia="仿宋_GB2312" w:cs="仿宋_GB2312"/>
          <w:color w:val="auto"/>
          <w:sz w:val="32"/>
          <w:szCs w:val="32"/>
          <w:shd w:val="clear" w:color="auto" w:fill="FFFFFF"/>
        </w:rPr>
        <w:t>依照房屋征收程序，坚持征收补偿公开、公平、公正，将征收与补偿方案、房屋补偿等情况进行公示，接受社会监督。</w:t>
      </w:r>
    </w:p>
    <w:p>
      <w:pPr>
        <w:shd w:val="solid" w:color="FFFFFF" w:fill="000000"/>
        <w:autoSpaceDN w:val="0"/>
        <w:spacing w:line="580" w:lineRule="exact"/>
        <w:ind w:firstLine="640" w:firstLineChars="200"/>
        <w:rPr>
          <w:rFonts w:ascii="黑体" w:hAnsi="黑体" w:eastAsia="黑体" w:cs="黑体"/>
          <w:bCs/>
          <w:color w:val="auto"/>
          <w:sz w:val="32"/>
          <w:szCs w:val="32"/>
          <w:shd w:val="clear" w:color="auto" w:fill="000000"/>
        </w:rPr>
      </w:pPr>
      <w:r>
        <w:rPr>
          <w:rFonts w:hint="eastAsia" w:ascii="黑体" w:hAnsi="黑体" w:eastAsia="黑体" w:cs="黑体"/>
          <w:bCs/>
          <w:color w:val="auto"/>
          <w:kern w:val="0"/>
          <w:sz w:val="32"/>
          <w:szCs w:val="32"/>
          <w:shd w:val="clear" w:color="auto" w:fill="FFFFFF"/>
        </w:rPr>
        <w:t>四、房屋征收实施单位</w:t>
      </w:r>
    </w:p>
    <w:p>
      <w:pPr>
        <w:shd w:val="solid" w:color="FFFFFF" w:fill="auto"/>
        <w:autoSpaceDN w:val="0"/>
        <w:spacing w:line="580" w:lineRule="exact"/>
        <w:ind w:firstLine="640" w:firstLineChars="200"/>
        <w:rPr>
          <w:rFonts w:ascii="仿宋" w:hAnsi="仿宋" w:eastAsia="仿宋" w:cs="仿宋"/>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房屋征收部门：大武口区住房城乡建设和交通局；房屋征收实施单位：大武口区星海镇、大武口区沟口街道办事处。</w:t>
      </w:r>
    </w:p>
    <w:p>
      <w:pPr>
        <w:shd w:val="solid" w:color="FFFFFF" w:fill="000000"/>
        <w:autoSpaceDN w:val="0"/>
        <w:spacing w:line="580" w:lineRule="exact"/>
        <w:ind w:firstLine="640" w:firstLineChars="200"/>
        <w:rPr>
          <w:rFonts w:ascii="黑体" w:hAnsi="黑体" w:eastAsia="黑体" w:cs="黑体"/>
          <w:bCs/>
          <w:color w:val="auto"/>
          <w:sz w:val="32"/>
          <w:szCs w:val="32"/>
          <w:shd w:val="clear" w:color="auto" w:fill="000000"/>
        </w:rPr>
      </w:pPr>
      <w:r>
        <w:rPr>
          <w:rFonts w:hint="eastAsia" w:ascii="黑体" w:hAnsi="黑体" w:eastAsia="黑体" w:cs="黑体"/>
          <w:bCs/>
          <w:color w:val="auto"/>
          <w:kern w:val="0"/>
          <w:sz w:val="32"/>
          <w:szCs w:val="32"/>
          <w:shd w:val="clear" w:color="auto" w:fill="FFFFFF"/>
        </w:rPr>
        <w:t>五、</w:t>
      </w:r>
      <w:r>
        <w:rPr>
          <w:rFonts w:hint="eastAsia" w:ascii="黑体" w:hAnsi="黑体" w:eastAsia="黑体" w:cs="黑体"/>
          <w:bCs/>
          <w:color w:val="auto"/>
          <w:sz w:val="32"/>
          <w:szCs w:val="32"/>
          <w:shd w:val="clear" w:color="auto" w:fill="FFFFFF"/>
        </w:rPr>
        <w:t>房屋认定及测量评估办法</w:t>
      </w:r>
    </w:p>
    <w:p>
      <w:pPr>
        <w:shd w:val="solid" w:color="FFFFFF" w:fill="000000"/>
        <w:autoSpaceDN w:val="0"/>
        <w:spacing w:line="580" w:lineRule="exact"/>
        <w:ind w:firstLine="643" w:firstLineChars="200"/>
        <w:rPr>
          <w:rFonts w:ascii="仿宋" w:hAnsi="仿宋" w:eastAsia="仿宋" w:cs="仿宋"/>
          <w:b/>
          <w:color w:val="auto"/>
          <w:sz w:val="32"/>
          <w:szCs w:val="32"/>
          <w:shd w:val="solid" w:color="FFFFFF" w:fill="080000"/>
        </w:rPr>
      </w:pPr>
      <w:r>
        <w:rPr>
          <w:rFonts w:hint="eastAsia" w:ascii="楷体_GB2312" w:hAnsi="楷体_GB2312" w:eastAsia="楷体_GB2312" w:cs="楷体_GB2312"/>
          <w:b/>
          <w:color w:val="auto"/>
          <w:kern w:val="0"/>
          <w:sz w:val="32"/>
          <w:szCs w:val="32"/>
          <w:shd w:val="clear" w:color="auto" w:fill="FFFFFF"/>
        </w:rPr>
        <w:t>（一）被征收房屋建筑面积认定</w:t>
      </w:r>
    </w:p>
    <w:p>
      <w:pPr>
        <w:shd w:val="solid" w:color="FFFFFF" w:fill="000000"/>
        <w:autoSpaceDN w:val="0"/>
        <w:spacing w:line="580" w:lineRule="exact"/>
        <w:ind w:firstLine="640" w:firstLineChars="200"/>
        <w:rPr>
          <w:rFonts w:ascii="仿宋_GB2312" w:hAnsi="仿宋_GB2312" w:eastAsia="仿宋_GB2312" w:cs="仿宋_GB2312"/>
          <w:color w:val="auto"/>
          <w:sz w:val="32"/>
          <w:szCs w:val="32"/>
          <w:shd w:val="clear" w:color="auto" w:fill="FFFFFF"/>
        </w:rPr>
      </w:pPr>
      <w:r>
        <w:rPr>
          <w:rFonts w:eastAsia="仿宋"/>
          <w:bCs/>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征收范围内已登记的房屋，其权属、用途和建筑面积，以房屋登记簿的记载为准。</w:t>
      </w:r>
    </w:p>
    <w:p>
      <w:pPr>
        <w:shd w:val="solid" w:color="FFFFFF" w:fill="000000"/>
        <w:autoSpaceDN w:val="0"/>
        <w:spacing w:line="580" w:lineRule="exact"/>
        <w:ind w:firstLine="640" w:firstLineChars="200"/>
        <w:rPr>
          <w:rFonts w:ascii="仿宋_GB2312" w:hAnsi="仿宋_GB2312" w:eastAsia="仿宋_GB2312" w:cs="仿宋_GB2312"/>
          <w:color w:val="auto"/>
          <w:sz w:val="32"/>
          <w:szCs w:val="32"/>
          <w:shd w:val="clear" w:color="auto" w:fill="FFFFFF"/>
        </w:rPr>
      </w:pPr>
      <w:r>
        <w:rPr>
          <w:rFonts w:hint="eastAsia" w:eastAsia="仿宋"/>
          <w:bCs/>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征收期间，对未登记确权房屋由辖区镇（街道）进行调查和认定，对认定为合法建筑的，给予补偿；对认定为违法建筑的，不予补偿。</w:t>
      </w:r>
    </w:p>
    <w:p>
      <w:pPr>
        <w:shd w:val="solid" w:color="FFFFFF" w:fill="000000"/>
        <w:autoSpaceDN w:val="0"/>
        <w:spacing w:line="580" w:lineRule="exact"/>
        <w:ind w:firstLine="640" w:firstLineChars="200"/>
        <w:rPr>
          <w:rFonts w:ascii="仿宋" w:hAnsi="仿宋" w:eastAsia="仿宋" w:cs="仿宋"/>
          <w:color w:val="auto"/>
          <w:sz w:val="32"/>
          <w:szCs w:val="32"/>
          <w:shd w:val="solid" w:color="FFFFFF" w:fill="080000"/>
        </w:rPr>
      </w:pPr>
      <w:r>
        <w:rPr>
          <w:rFonts w:hint="eastAsia" w:eastAsia="仿宋"/>
          <w:bCs/>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征收期间，国土及房屋产权登记机构一律暂停办理被征收范围内的土地及房屋产权变更事宜。</w:t>
      </w:r>
    </w:p>
    <w:p>
      <w:pPr>
        <w:shd w:val="solid" w:color="FFFFFF" w:fill="000000"/>
        <w:autoSpaceDN w:val="0"/>
        <w:spacing w:line="580" w:lineRule="exact"/>
        <w:ind w:firstLine="643" w:firstLineChars="200"/>
        <w:rPr>
          <w:rFonts w:ascii="仿宋" w:hAnsi="仿宋" w:eastAsia="仿宋" w:cs="仿宋"/>
          <w:b/>
          <w:color w:val="auto"/>
          <w:sz w:val="32"/>
          <w:szCs w:val="32"/>
          <w:shd w:val="solid" w:color="FFFFFF" w:fill="080000"/>
        </w:rPr>
      </w:pPr>
      <w:r>
        <w:rPr>
          <w:rFonts w:hint="eastAsia" w:ascii="楷体_GB2312" w:hAnsi="楷体_GB2312" w:eastAsia="楷体_GB2312" w:cs="楷体_GB2312"/>
          <w:b/>
          <w:color w:val="auto"/>
          <w:kern w:val="0"/>
          <w:sz w:val="32"/>
          <w:szCs w:val="32"/>
          <w:shd w:val="clear" w:color="auto" w:fill="FFFFFF"/>
        </w:rPr>
        <w:t>（二）房屋测量、评估选定</w:t>
      </w:r>
    </w:p>
    <w:p>
      <w:pPr>
        <w:shd w:val="solid" w:color="FFFFFF" w:fill="000000"/>
        <w:autoSpaceDN w:val="0"/>
        <w:adjustRightInd w:val="0"/>
        <w:snapToGrid w:val="0"/>
        <w:spacing w:line="560" w:lineRule="exact"/>
        <w:ind w:firstLine="640" w:firstLineChars="200"/>
        <w:rPr>
          <w:rFonts w:ascii="仿宋" w:hAnsi="仿宋" w:eastAsia="仿宋" w:cs="仿宋"/>
          <w:color w:val="auto"/>
          <w:sz w:val="32"/>
          <w:szCs w:val="32"/>
          <w:shd w:val="clear" w:color="auto" w:fill="000000"/>
        </w:rPr>
      </w:pPr>
      <w:r>
        <w:rPr>
          <w:rFonts w:hint="eastAsia" w:eastAsia="仿宋"/>
          <w:bCs/>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按照《国有土地上房屋征收与补偿条例》要求选定评估机构，</w:t>
      </w:r>
      <w:r>
        <w:rPr>
          <w:rFonts w:ascii="仿宋_GB2312" w:hAnsi="仿宋_GB2312" w:eastAsia="仿宋_GB2312" w:cs="仿宋_GB2312"/>
          <w:color w:val="auto"/>
          <w:sz w:val="32"/>
          <w:szCs w:val="32"/>
          <w:shd w:val="clear" w:color="auto" w:fill="FFFFFF"/>
        </w:rPr>
        <w:t>被征收人可协商选定具有评估资质的房地产评估机构</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协商不成，通过多数决定或随机选定等方式确定</w:t>
      </w:r>
      <w:r>
        <w:rPr>
          <w:rFonts w:hint="eastAsia" w:ascii="仿宋_GB2312" w:hAnsi="仿宋_GB2312" w:eastAsia="仿宋_GB2312" w:cs="仿宋_GB2312"/>
          <w:color w:val="auto"/>
          <w:sz w:val="32"/>
          <w:szCs w:val="32"/>
          <w:shd w:val="clear" w:color="auto" w:fill="FFFFFF"/>
        </w:rPr>
        <w:t>。</w:t>
      </w:r>
    </w:p>
    <w:p>
      <w:pPr>
        <w:shd w:val="solid" w:color="FFFFFF" w:fill="000000"/>
        <w:autoSpaceDN w:val="0"/>
        <w:spacing w:line="580" w:lineRule="exact"/>
        <w:ind w:firstLine="640" w:firstLineChars="200"/>
        <w:rPr>
          <w:rFonts w:ascii="仿宋" w:hAnsi="仿宋" w:eastAsia="仿宋" w:cs="仿宋"/>
          <w:color w:val="auto"/>
          <w:sz w:val="32"/>
          <w:szCs w:val="32"/>
          <w:shd w:val="clear" w:color="auto" w:fill="FFFFFF"/>
        </w:rPr>
      </w:pPr>
      <w:r>
        <w:rPr>
          <w:rFonts w:hint="eastAsia" w:eastAsia="仿宋"/>
          <w:bCs/>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评估机构负责被征收人房屋及单项设施等评估和复估核实工作。</w:t>
      </w:r>
    </w:p>
    <w:p>
      <w:pPr>
        <w:shd w:val="solid" w:color="FFFFFF" w:fill="000000"/>
        <w:autoSpaceDN w:val="0"/>
        <w:spacing w:line="580" w:lineRule="exact"/>
        <w:ind w:firstLine="640" w:firstLineChars="200"/>
        <w:rPr>
          <w:rFonts w:ascii="仿宋" w:hAnsi="仿宋" w:eastAsia="仿宋" w:cs="仿宋"/>
          <w:color w:val="auto"/>
          <w:sz w:val="32"/>
          <w:szCs w:val="32"/>
          <w:shd w:val="solid" w:color="FFFFFF" w:fill="080000"/>
        </w:rPr>
      </w:pPr>
      <w:r>
        <w:rPr>
          <w:rFonts w:hint="eastAsia" w:eastAsia="仿宋"/>
          <w:bCs/>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测量机构负责被征收人的房屋的建筑面积测量核实工作，已登记核准的房屋面积不再进行测量复核。</w:t>
      </w:r>
    </w:p>
    <w:p>
      <w:pPr>
        <w:shd w:val="solid" w:color="FFFFFF" w:fill="auto"/>
        <w:autoSpaceDN w:val="0"/>
        <w:spacing w:line="580" w:lineRule="exact"/>
        <w:ind w:firstLine="645"/>
        <w:rPr>
          <w:rFonts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六、征收补偿方式及补助标准</w:t>
      </w:r>
    </w:p>
    <w:p>
      <w:pPr>
        <w:shd w:val="solid" w:color="FFFFFF" w:fill="auto"/>
        <w:autoSpaceDN w:val="0"/>
        <w:spacing w:line="580" w:lineRule="exact"/>
        <w:ind w:firstLine="640" w:firstLineChars="200"/>
        <w:rPr>
          <w:rFonts w:ascii="仿宋" w:hAnsi="仿宋" w:eastAsia="仿宋" w:cs="仿宋"/>
          <w:color w:val="auto"/>
          <w:sz w:val="32"/>
          <w:szCs w:val="32"/>
        </w:rPr>
      </w:pPr>
      <w:r>
        <w:rPr>
          <w:rFonts w:hint="eastAsia" w:ascii="仿宋_GB2312" w:hAnsi="仿宋_GB2312" w:eastAsia="仿宋_GB2312" w:cs="仿宋_GB2312"/>
          <w:color w:val="auto"/>
          <w:sz w:val="32"/>
          <w:szCs w:val="32"/>
          <w:shd w:val="clear" w:color="auto" w:fill="FFFFFF"/>
        </w:rPr>
        <w:t>此次征收补偿采取货币补偿的方式，具体如下：</w:t>
      </w:r>
    </w:p>
    <w:p>
      <w:pPr>
        <w:spacing w:line="580" w:lineRule="exact"/>
        <w:ind w:firstLine="640" w:firstLineChars="200"/>
        <w:rPr>
          <w:rFonts w:ascii="仿宋_GB2312" w:hAnsi="仿宋_GB2312" w:eastAsia="仿宋_GB2312" w:cs="仿宋_GB2312"/>
          <w:color w:val="auto"/>
          <w:sz w:val="32"/>
          <w:szCs w:val="32"/>
          <w:shd w:val="clear" w:color="auto" w:fill="FFFFFF"/>
        </w:rPr>
      </w:pPr>
      <w:r>
        <w:rPr>
          <w:rFonts w:hint="eastAsia" w:eastAsia="仿宋"/>
          <w:bCs/>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确权房屋、未确权房屋及单项附属设施由评估机构进行评估并公示，按照评估价格计算补偿金额。</w:t>
      </w:r>
    </w:p>
    <w:p>
      <w:pPr>
        <w:autoSpaceDN w:val="0"/>
        <w:spacing w:line="580" w:lineRule="exact"/>
        <w:ind w:firstLine="640" w:firstLineChars="200"/>
        <w:rPr>
          <w:rFonts w:ascii="仿宋" w:hAnsi="仿宋" w:eastAsia="仿宋" w:cs="仿宋"/>
          <w:color w:val="auto"/>
          <w:sz w:val="32"/>
          <w:szCs w:val="32"/>
        </w:rPr>
      </w:pPr>
      <w:r>
        <w:rPr>
          <w:rFonts w:hint="eastAsia" w:eastAsia="仿宋"/>
          <w:bCs/>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普通住宅改变原有房屋产权性质的一律按原有房屋性质及单项设施评估结果为补偿金额。</w:t>
      </w:r>
    </w:p>
    <w:p>
      <w:pPr>
        <w:shd w:val="solid" w:color="FFFFFF" w:fill="auto"/>
        <w:autoSpaceDN w:val="0"/>
        <w:adjustRightInd w:val="0"/>
        <w:snapToGrid w:val="0"/>
        <w:spacing w:line="580" w:lineRule="exact"/>
        <w:ind w:firstLine="640" w:firstLineChars="200"/>
        <w:rPr>
          <w:rFonts w:ascii="仿宋" w:hAnsi="仿宋" w:eastAsia="仿宋" w:cs="仿宋"/>
          <w:color w:val="auto"/>
          <w:sz w:val="32"/>
          <w:szCs w:val="32"/>
          <w:shd w:val="clear" w:color="auto" w:fill="FFFFFF"/>
        </w:rPr>
      </w:pPr>
      <w:r>
        <w:rPr>
          <w:rFonts w:hint="eastAsia" w:eastAsia="仿宋"/>
          <w:bCs/>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对产权为个人的商业房，有经营项目，并且营业执照等证照手续齐全，按照被征收房屋评估价值</w:t>
      </w:r>
      <w:r>
        <w:rPr>
          <w:rFonts w:hint="eastAsia" w:eastAsia="仿宋"/>
          <w:bCs/>
          <w:color w:val="auto"/>
          <w:sz w:val="32"/>
          <w:szCs w:val="32"/>
          <w:shd w:val="clear" w:color="auto" w:fill="FFFFFF"/>
        </w:rPr>
        <w:t>7‰</w:t>
      </w:r>
      <w:r>
        <w:rPr>
          <w:rFonts w:hint="eastAsia" w:ascii="仿宋_GB2312" w:hAnsi="仿宋_GB2312" w:eastAsia="仿宋_GB2312" w:cs="仿宋_GB2312"/>
          <w:color w:val="auto"/>
          <w:sz w:val="32"/>
          <w:szCs w:val="32"/>
          <w:shd w:val="clear" w:color="auto" w:fill="FFFFFF"/>
        </w:rPr>
        <w:t>的比例,一次性计算</w:t>
      </w:r>
      <w:r>
        <w:rPr>
          <w:rFonts w:hint="eastAsia" w:eastAsia="仿宋"/>
          <w:bCs/>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个月的停产停业损失补偿。</w:t>
      </w:r>
    </w:p>
    <w:p>
      <w:pPr>
        <w:shd w:val="solid" w:color="FFFFFF" w:fill="auto"/>
        <w:autoSpaceDN w:val="0"/>
        <w:spacing w:line="580" w:lineRule="exact"/>
        <w:ind w:firstLine="600"/>
        <w:rPr>
          <w:rFonts w:ascii="仿宋" w:hAnsi="仿宋" w:eastAsia="仿宋" w:cs="仿宋"/>
          <w:color w:val="auto"/>
          <w:sz w:val="32"/>
          <w:szCs w:val="32"/>
          <w:shd w:val="clear" w:color="auto" w:fill="FFFFFF"/>
        </w:rPr>
      </w:pPr>
      <w:r>
        <w:rPr>
          <w:rFonts w:hint="eastAsia" w:eastAsia="仿宋"/>
          <w:bCs/>
          <w:color w:val="auto"/>
          <w:sz w:val="32"/>
          <w:szCs w:val="32"/>
          <w:shd w:val="clear" w:color="auto" w:fill="FFFFFF"/>
        </w:rPr>
        <w:t>4.根据实际情况，</w:t>
      </w:r>
      <w:r>
        <w:rPr>
          <w:rFonts w:hint="eastAsia" w:ascii="仿宋_GB2312" w:hAnsi="仿宋_GB2312" w:eastAsia="仿宋_GB2312" w:cs="仿宋_GB2312"/>
          <w:color w:val="auto"/>
          <w:sz w:val="32"/>
          <w:szCs w:val="32"/>
          <w:shd w:val="clear" w:color="auto" w:fill="FFFFFF"/>
        </w:rPr>
        <w:t>给予被征收人</w:t>
      </w:r>
      <w:r>
        <w:rPr>
          <w:rFonts w:hint="eastAsia" w:eastAsia="仿宋"/>
          <w:bCs/>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个月临时安置费</w:t>
      </w:r>
      <w:r>
        <w:rPr>
          <w:rFonts w:hint="eastAsia" w:eastAsia="仿宋"/>
          <w:bCs/>
          <w:color w:val="auto"/>
          <w:sz w:val="32"/>
          <w:szCs w:val="32"/>
          <w:shd w:val="clear" w:color="auto" w:fill="FFFFFF"/>
        </w:rPr>
        <w:t>1650</w:t>
      </w:r>
      <w:r>
        <w:rPr>
          <w:rFonts w:hint="eastAsia" w:ascii="仿宋_GB2312" w:hAnsi="仿宋_GB2312" w:eastAsia="仿宋_GB2312" w:cs="仿宋_GB2312"/>
          <w:color w:val="auto"/>
          <w:sz w:val="32"/>
          <w:szCs w:val="32"/>
          <w:shd w:val="clear" w:color="auto" w:fill="FFFFFF"/>
        </w:rPr>
        <w:t>元（</w:t>
      </w:r>
      <w:r>
        <w:rPr>
          <w:rFonts w:hint="eastAsia" w:eastAsia="仿宋"/>
          <w:bCs/>
          <w:color w:val="auto"/>
          <w:sz w:val="32"/>
          <w:szCs w:val="32"/>
          <w:shd w:val="clear" w:color="auto" w:fill="FFFFFF"/>
        </w:rPr>
        <w:t>550</w:t>
      </w:r>
      <w:r>
        <w:rPr>
          <w:rFonts w:hint="eastAsia" w:ascii="仿宋_GB2312" w:hAnsi="仿宋_GB2312" w:eastAsia="仿宋_GB2312" w:cs="仿宋_GB2312"/>
          <w:color w:val="auto"/>
          <w:sz w:val="32"/>
          <w:szCs w:val="32"/>
          <w:shd w:val="clear" w:color="auto" w:fill="FFFFFF"/>
        </w:rPr>
        <w:t>元/月），搬家费</w:t>
      </w:r>
      <w:r>
        <w:rPr>
          <w:rFonts w:hint="eastAsia" w:eastAsia="仿宋"/>
          <w:bCs/>
          <w:color w:val="auto"/>
          <w:sz w:val="32"/>
          <w:szCs w:val="32"/>
          <w:shd w:val="clear" w:color="auto" w:fill="FFFFFF"/>
        </w:rPr>
        <w:t>600</w:t>
      </w:r>
      <w:r>
        <w:rPr>
          <w:rFonts w:hint="eastAsia" w:ascii="仿宋_GB2312" w:hAnsi="仿宋_GB2312" w:eastAsia="仿宋_GB2312" w:cs="仿宋_GB2312"/>
          <w:color w:val="auto"/>
          <w:sz w:val="32"/>
          <w:szCs w:val="32"/>
          <w:shd w:val="clear" w:color="auto" w:fill="FFFFFF"/>
        </w:rPr>
        <w:t>元，宽带费</w:t>
      </w:r>
      <w:r>
        <w:rPr>
          <w:rFonts w:hint="eastAsia" w:eastAsia="仿宋"/>
          <w:bCs/>
          <w:color w:val="auto"/>
          <w:sz w:val="32"/>
          <w:szCs w:val="32"/>
          <w:shd w:val="clear" w:color="auto" w:fill="FFFFFF"/>
        </w:rPr>
        <w:t>600</w:t>
      </w:r>
      <w:r>
        <w:rPr>
          <w:rFonts w:hint="eastAsia" w:ascii="仿宋_GB2312" w:hAnsi="仿宋_GB2312" w:eastAsia="仿宋_GB2312" w:cs="仿宋_GB2312"/>
          <w:color w:val="auto"/>
          <w:sz w:val="32"/>
          <w:szCs w:val="32"/>
          <w:shd w:val="clear" w:color="auto" w:fill="FFFFFF"/>
        </w:rPr>
        <w:t>元，电表费</w:t>
      </w:r>
      <w:r>
        <w:rPr>
          <w:rFonts w:hint="eastAsia" w:eastAsia="仿宋"/>
          <w:bCs/>
          <w:color w:val="auto"/>
          <w:sz w:val="32"/>
          <w:szCs w:val="32"/>
          <w:shd w:val="clear" w:color="auto" w:fill="FFFFFF"/>
        </w:rPr>
        <w:t>80</w:t>
      </w:r>
      <w:r>
        <w:rPr>
          <w:rFonts w:hint="eastAsia" w:ascii="仿宋_GB2312" w:hAnsi="仿宋_GB2312" w:eastAsia="仿宋_GB2312" w:cs="仿宋_GB2312"/>
          <w:color w:val="auto"/>
          <w:sz w:val="32"/>
          <w:szCs w:val="32"/>
          <w:shd w:val="clear" w:color="auto" w:fill="FFFFFF"/>
        </w:rPr>
        <w:t>元/块。</w:t>
      </w:r>
    </w:p>
    <w:p>
      <w:pPr>
        <w:spacing w:line="580" w:lineRule="exact"/>
        <w:ind w:firstLine="640" w:firstLineChars="200"/>
        <w:rPr>
          <w:rFonts w:ascii="仿宋" w:hAnsi="仿宋" w:eastAsia="仿宋" w:cs="仿宋"/>
          <w:color w:val="auto"/>
          <w:sz w:val="32"/>
          <w:szCs w:val="32"/>
        </w:rPr>
      </w:pPr>
      <w:r>
        <w:rPr>
          <w:rFonts w:hint="eastAsia" w:ascii="黑体" w:hAnsi="黑体" w:eastAsia="黑体" w:cs="黑体"/>
          <w:bCs/>
          <w:color w:val="auto"/>
          <w:sz w:val="32"/>
          <w:szCs w:val="32"/>
          <w:shd w:val="clear" w:color="auto" w:fill="FFFFFF"/>
        </w:rPr>
        <w:t>七、房屋征收签约期限</w:t>
      </w:r>
    </w:p>
    <w:p>
      <w:pPr>
        <w:shd w:val="solid" w:color="FFFFFF" w:fill="auto"/>
        <w:autoSpaceDN w:val="0"/>
        <w:spacing w:line="580" w:lineRule="exact"/>
        <w:ind w:firstLine="640" w:firstLineChars="200"/>
        <w:rPr>
          <w:rFonts w:ascii="仿宋" w:hAnsi="仿宋" w:eastAsia="仿宋" w:cs="仿宋"/>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房屋征收签约期为自征收决定书发布之日起</w:t>
      </w:r>
      <w:r>
        <w:rPr>
          <w:rFonts w:hint="eastAsia" w:eastAsia="仿宋"/>
          <w:bCs/>
          <w:color w:val="auto"/>
          <w:sz w:val="32"/>
          <w:szCs w:val="32"/>
          <w:shd w:val="clear" w:color="auto" w:fill="FFFFFF"/>
        </w:rPr>
        <w:t>60</w:t>
      </w:r>
      <w:r>
        <w:rPr>
          <w:rFonts w:hint="eastAsia" w:ascii="仿宋_GB2312" w:hAnsi="仿宋_GB2312" w:eastAsia="仿宋_GB2312" w:cs="仿宋_GB2312"/>
          <w:color w:val="auto"/>
          <w:sz w:val="32"/>
          <w:szCs w:val="32"/>
          <w:shd w:val="clear" w:color="auto" w:fill="FFFFFF"/>
        </w:rPr>
        <w:t>日内。</w:t>
      </w:r>
    </w:p>
    <w:p>
      <w:pPr>
        <w:numPr>
          <w:ilvl w:val="0"/>
          <w:numId w:val="1"/>
        </w:numPr>
        <w:shd w:val="solid" w:color="FFFFFF" w:fill="000000"/>
        <w:autoSpaceDN w:val="0"/>
        <w:spacing w:line="580" w:lineRule="exact"/>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征收事项须知</w:t>
      </w:r>
    </w:p>
    <w:p>
      <w:pPr>
        <w:pStyle w:val="2"/>
        <w:ind w:left="640" w:firstLine="0" w:firstLineChars="0"/>
        <w:rPr>
          <w:rFonts w:eastAsia="楷体_GB2312"/>
          <w:color w:val="auto"/>
        </w:rPr>
      </w:pPr>
      <w:r>
        <w:rPr>
          <w:rFonts w:hint="eastAsia" w:ascii="楷体_GB2312" w:hAnsi="楷体_GB2312" w:eastAsia="楷体_GB2312" w:cs="楷体_GB2312"/>
          <w:b/>
          <w:color w:val="auto"/>
          <w:szCs w:val="32"/>
          <w:shd w:val="clear" w:color="auto" w:fill="FFFFFF"/>
        </w:rPr>
        <w:t>（一）被征收人在签订协议时需提交以下证件及凭据</w:t>
      </w:r>
    </w:p>
    <w:p>
      <w:pPr>
        <w:pStyle w:val="2"/>
        <w:ind w:left="640" w:firstLine="0" w:firstLineChars="0"/>
        <w:rPr>
          <w:rFonts w:ascii="仿宋" w:hAnsi="仿宋" w:eastAsia="仿宋" w:cs="仿宋"/>
          <w:color w:val="auto"/>
        </w:rPr>
      </w:pPr>
      <w:r>
        <w:rPr>
          <w:rFonts w:hint="eastAsia" w:ascii="仿宋" w:hAnsi="仿宋" w:eastAsia="仿宋" w:cs="仿宋"/>
          <w:color w:val="auto"/>
        </w:rPr>
        <w:t>1.房屋所有权证（原件及复印件）</w:t>
      </w:r>
    </w:p>
    <w:p>
      <w:pPr>
        <w:pStyle w:val="2"/>
        <w:ind w:left="640" w:firstLine="0" w:firstLineChars="0"/>
        <w:rPr>
          <w:rFonts w:ascii="仿宋" w:hAnsi="仿宋" w:eastAsia="仿宋" w:cs="仿宋"/>
          <w:color w:val="auto"/>
        </w:rPr>
      </w:pPr>
      <w:r>
        <w:rPr>
          <w:rFonts w:hint="eastAsia" w:ascii="仿宋" w:hAnsi="仿宋" w:eastAsia="仿宋" w:cs="仿宋"/>
          <w:color w:val="auto"/>
        </w:rPr>
        <w:t>2.土地使用证（原件及复印件）</w:t>
      </w:r>
    </w:p>
    <w:p>
      <w:pPr>
        <w:pStyle w:val="2"/>
        <w:ind w:left="640" w:firstLine="0" w:firstLineChars="0"/>
        <w:rPr>
          <w:rFonts w:ascii="仿宋" w:hAnsi="仿宋" w:eastAsia="仿宋" w:cs="仿宋"/>
          <w:color w:val="auto"/>
        </w:rPr>
      </w:pPr>
      <w:r>
        <w:rPr>
          <w:rFonts w:hint="eastAsia" w:ascii="仿宋" w:hAnsi="仿宋" w:eastAsia="仿宋" w:cs="仿宋"/>
          <w:color w:val="auto"/>
        </w:rPr>
        <w:t>3.授权委托书（原件及复印件）</w:t>
      </w:r>
    </w:p>
    <w:p>
      <w:pPr>
        <w:pStyle w:val="2"/>
        <w:ind w:left="640" w:firstLine="0" w:firstLineChars="0"/>
        <w:rPr>
          <w:color w:val="auto"/>
        </w:rPr>
      </w:pPr>
      <w:r>
        <w:rPr>
          <w:rFonts w:hint="eastAsia" w:ascii="仿宋" w:hAnsi="仿宋" w:eastAsia="仿宋" w:cs="仿宋"/>
          <w:color w:val="auto"/>
        </w:rPr>
        <w:t>4.房屋所有权人、经营户的身份证（原件及复印件）</w:t>
      </w:r>
    </w:p>
    <w:p>
      <w:pPr>
        <w:autoSpaceDN w:val="0"/>
        <w:spacing w:line="580" w:lineRule="exact"/>
        <w:ind w:firstLine="643" w:firstLineChars="200"/>
        <w:rPr>
          <w:rFonts w:ascii="仿宋" w:hAnsi="仿宋" w:eastAsia="仿宋" w:cs="仿宋"/>
          <w:b/>
          <w:bCs/>
          <w:color w:val="auto"/>
          <w:sz w:val="32"/>
          <w:szCs w:val="32"/>
        </w:rPr>
      </w:pPr>
      <w:r>
        <w:rPr>
          <w:rFonts w:hint="eastAsia" w:ascii="楷体_GB2312" w:hAnsi="楷体_GB2312" w:eastAsia="楷体_GB2312" w:cs="楷体_GB2312"/>
          <w:b/>
          <w:color w:val="auto"/>
          <w:kern w:val="0"/>
          <w:sz w:val="32"/>
          <w:szCs w:val="32"/>
          <w:shd w:val="clear" w:color="auto" w:fill="FFFFFF"/>
        </w:rPr>
        <w:t>（二）征收须知</w:t>
      </w:r>
    </w:p>
    <w:p>
      <w:pPr>
        <w:autoSpaceDN w:val="0"/>
        <w:spacing w:line="580" w:lineRule="exact"/>
        <w:ind w:firstLine="640" w:firstLineChars="200"/>
        <w:rPr>
          <w:rFonts w:ascii="仿宋" w:hAnsi="仿宋" w:eastAsia="仿宋" w:cs="仿宋"/>
          <w:color w:val="auto"/>
          <w:sz w:val="32"/>
          <w:szCs w:val="32"/>
        </w:rPr>
      </w:pPr>
      <w:r>
        <w:rPr>
          <w:rFonts w:hint="eastAsia" w:eastAsia="仿宋"/>
          <w:bCs/>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被征收人交房前，必须结清房屋使用中的所有水、电、暖、电话费、宽带等各项费用。</w:t>
      </w:r>
    </w:p>
    <w:p>
      <w:pPr>
        <w:autoSpaceDN w:val="0"/>
        <w:spacing w:line="580" w:lineRule="exact"/>
        <w:ind w:firstLine="640" w:firstLineChars="200"/>
        <w:rPr>
          <w:rFonts w:ascii="仿宋_GB2312" w:hAnsi="仿宋_GB2312" w:eastAsia="仿宋_GB2312" w:cs="仿宋_GB2312"/>
          <w:color w:val="auto"/>
          <w:sz w:val="32"/>
          <w:szCs w:val="32"/>
          <w:shd w:val="clear" w:color="auto" w:fill="FFFFFF"/>
        </w:rPr>
      </w:pPr>
      <w:r>
        <w:rPr>
          <w:rFonts w:hint="eastAsia" w:eastAsia="仿宋"/>
          <w:bCs/>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被征收人必须保持原房屋结构完整，设施齐全，不得损坏和拆除门、窗、暖气、管网线及各类用表等设施，违者将从征收补偿款中予以扣除。</w:t>
      </w:r>
    </w:p>
    <w:p>
      <w:pPr>
        <w:autoSpaceDN w:val="0"/>
        <w:spacing w:line="580" w:lineRule="exact"/>
        <w:ind w:firstLine="640" w:firstLineChars="200"/>
        <w:rPr>
          <w:rFonts w:ascii="仿宋_GB2312" w:hAnsi="仿宋_GB2312" w:eastAsia="仿宋_GB2312" w:cs="仿宋_GB2312"/>
          <w:color w:val="auto"/>
          <w:sz w:val="32"/>
          <w:szCs w:val="32"/>
          <w:shd w:val="clear" w:color="auto" w:fill="FFFFFF"/>
        </w:rPr>
      </w:pPr>
      <w:r>
        <w:rPr>
          <w:rFonts w:hint="eastAsia" w:eastAsia="仿宋"/>
          <w:bCs/>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征收期间征收房屋已出租的，被征收人应及时与承租人解除租赁关系，负责收回房屋。</w:t>
      </w:r>
    </w:p>
    <w:p>
      <w:pPr>
        <w:shd w:val="solid" w:color="FFFFFF" w:fill="auto"/>
        <w:autoSpaceDN w:val="0"/>
        <w:spacing w:line="580" w:lineRule="exact"/>
        <w:ind w:firstLine="643" w:firstLineChars="200"/>
        <w:rPr>
          <w:rFonts w:ascii="仿宋" w:hAnsi="仿宋" w:eastAsia="仿宋" w:cs="仿宋"/>
          <w:b/>
          <w:bCs/>
          <w:color w:val="auto"/>
          <w:sz w:val="32"/>
          <w:szCs w:val="32"/>
          <w:shd w:val="clear" w:color="auto" w:fill="FFFFFF"/>
        </w:rPr>
      </w:pPr>
      <w:r>
        <w:rPr>
          <w:rFonts w:hint="eastAsia" w:ascii="楷体_GB2312" w:hAnsi="楷体_GB2312" w:eastAsia="楷体_GB2312" w:cs="楷体_GB2312"/>
          <w:b/>
          <w:color w:val="auto"/>
          <w:kern w:val="0"/>
          <w:sz w:val="32"/>
          <w:szCs w:val="32"/>
          <w:shd w:val="clear" w:color="auto" w:fill="FFFFFF"/>
        </w:rPr>
        <w:t>（三）法律责任</w:t>
      </w:r>
    </w:p>
    <w:p>
      <w:pPr>
        <w:shd w:val="solid" w:color="FFFFFF" w:fill="auto"/>
        <w:overflowPunct w:val="0"/>
        <w:topLinePunct/>
        <w:spacing w:line="580" w:lineRule="exact"/>
        <w:ind w:firstLine="640" w:firstLineChars="200"/>
        <w:rPr>
          <w:rFonts w:ascii="仿宋_GB2312" w:hAnsi="仿宋_GB2312" w:eastAsia="仿宋_GB2312" w:cs="仿宋_GB2312"/>
          <w:color w:val="auto"/>
          <w:sz w:val="32"/>
          <w:szCs w:val="32"/>
          <w:shd w:val="clear" w:color="auto" w:fill="FFFFFF"/>
        </w:rPr>
      </w:pPr>
      <w:r>
        <w:rPr>
          <w:rFonts w:hint="eastAsia" w:eastAsia="仿宋"/>
          <w:bCs/>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在征收过程中，被征收人采取暴力、威胁等方法阻碍依法进行的房屋征收与补偿工作，构成犯罪的，依法追究刑事责任；构成违反治安管理行为的，依法给与治安管理处罚。</w:t>
      </w:r>
    </w:p>
    <w:p>
      <w:pPr>
        <w:shd w:val="solid" w:color="FFFFFF" w:fill="auto"/>
        <w:autoSpaceDN w:val="0"/>
        <w:spacing w:line="580" w:lineRule="exact"/>
        <w:ind w:firstLine="640" w:firstLineChars="200"/>
        <w:rPr>
          <w:rFonts w:ascii="仿宋" w:hAnsi="仿宋" w:eastAsia="仿宋" w:cs="仿宋"/>
          <w:color w:val="auto"/>
          <w:sz w:val="32"/>
          <w:szCs w:val="32"/>
          <w:shd w:val="clear" w:color="auto" w:fill="FFFFFF"/>
        </w:rPr>
      </w:pPr>
      <w:r>
        <w:rPr>
          <w:rFonts w:hint="eastAsia" w:eastAsia="仿宋"/>
          <w:bCs/>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征收工作人员必须严格执行有关法律、法规和本方案，对滥用职权、玩忽职守、徇私舞弊和贪污、挪用、私分、截留、拖欠征收补偿费用的，由所在单位或上级主管机关依法追究行政过错责任；构成犯罪的依法追究刑事责任。</w:t>
      </w:r>
    </w:p>
    <w:p>
      <w:pPr>
        <w:spacing w:line="58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shd w:val="clear" w:color="auto" w:fill="FFFFFF"/>
        </w:rPr>
        <w:t>九、</w:t>
      </w:r>
      <w:r>
        <w:rPr>
          <w:rFonts w:hint="eastAsia" w:ascii="黑体" w:hAnsi="黑体" w:eastAsia="黑体" w:cs="黑体"/>
          <w:color w:val="auto"/>
          <w:sz w:val="32"/>
          <w:szCs w:val="32"/>
        </w:rPr>
        <w:t>其他事宜</w:t>
      </w:r>
    </w:p>
    <w:p>
      <w:pPr>
        <w:shd w:val="solid" w:color="FFFFFF" w:fill="auto"/>
        <w:wordWrap w:val="0"/>
        <w:topLinePunct/>
        <w:autoSpaceDN w:val="0"/>
        <w:adjustRightInd w:val="0"/>
        <w:snapToGrid w:val="0"/>
        <w:spacing w:line="580" w:lineRule="exact"/>
        <w:ind w:firstLine="640" w:firstLineChars="200"/>
        <w:rPr>
          <w:rFonts w:ascii="仿宋" w:hAnsi="仿宋" w:eastAsia="仿宋" w:cs="仿宋"/>
          <w:b/>
          <w:bCs/>
          <w:color w:val="auto"/>
          <w:sz w:val="32"/>
          <w:szCs w:val="32"/>
          <w:shd w:val="clear" w:color="auto" w:fill="FFFFFF"/>
        </w:rPr>
      </w:pPr>
      <w:r>
        <w:rPr>
          <w:rFonts w:hint="eastAsia" w:eastAsia="仿宋"/>
          <w:bCs/>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对本方案实施过程中出现的其他问题，依据区政府专题会议研究为准。</w:t>
      </w:r>
    </w:p>
    <w:p>
      <w:pPr>
        <w:shd w:val="solid" w:color="FFFFFF" w:fill="auto"/>
        <w:autoSpaceDN w:val="0"/>
        <w:spacing w:line="580" w:lineRule="exact"/>
        <w:ind w:firstLine="640" w:firstLineChars="200"/>
        <w:rPr>
          <w:rFonts w:ascii="仿宋" w:hAnsi="仿宋" w:eastAsia="仿宋" w:cs="仿宋"/>
          <w:color w:val="auto"/>
          <w:sz w:val="32"/>
          <w:szCs w:val="32"/>
        </w:rPr>
      </w:pPr>
      <w:r>
        <w:rPr>
          <w:rFonts w:hint="eastAsia" w:eastAsia="仿宋"/>
          <w:bCs/>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本方案仅适用于大武口区乌玛高速建设项目房屋征收，自发布之日起实施。</w:t>
      </w:r>
    </w:p>
    <w:p>
      <w:pPr>
        <w:spacing w:line="500" w:lineRule="exact"/>
        <w:ind w:firstLine="640" w:firstLineChars="200"/>
        <w:rPr>
          <w:color w:val="auto"/>
        </w:rPr>
      </w:pPr>
      <w:r>
        <w:rPr>
          <w:rFonts w:hint="eastAsia" w:eastAsia="仿宋"/>
          <w:bCs/>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rPr>
        <w:t>本方案由大武口区住房城乡建设和交通局负责解释</w:t>
      </w:r>
      <w:r>
        <w:rPr>
          <w:rFonts w:ascii="仿宋_GB2312" w:hAnsi="仿宋_GB2312" w:eastAsia="仿宋_GB2312" w:cs="仿宋_GB2312"/>
          <w:color w:val="auto"/>
          <w:sz w:val="32"/>
          <w:szCs w:val="32"/>
          <w:shd w:val="clear" w:color="auto" w:fill="FFFFFF"/>
        </w:rPr>
        <w:t>。</w:t>
      </w:r>
    </w:p>
    <w:p>
      <w:pPr>
        <w:pStyle w:val="4"/>
        <w:ind w:firstLine="0" w:firstLineChars="0"/>
        <w:rPr>
          <w:rFonts w:ascii="仿宋_GB2312" w:hAnsi="仿宋_GB2312" w:eastAsia="仿宋_GB2312" w:cs="仿宋_GB2312"/>
          <w:color w:val="auto"/>
          <w:sz w:val="32"/>
          <w:szCs w:val="32"/>
        </w:rPr>
      </w:pPr>
      <w:bookmarkStart w:id="0" w:name="_GoBack"/>
      <w:bookmarkEnd w:id="0"/>
    </w:p>
    <w:p>
      <w:pPr>
        <w:pStyle w:val="4"/>
        <w:ind w:firstLine="0" w:firstLineChars="0"/>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大武口区人民政府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2022年1月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w:t>
      </w:r>
    </w:p>
    <w:p>
      <w:pPr>
        <w:rPr>
          <w:rFonts w:hint="default" w:eastAsia="仿宋_GB2312"/>
          <w:lang w:val="en-US" w:eastAsia="zh-CN"/>
        </w:rPr>
      </w:pPr>
    </w:p>
    <w:sectPr>
      <w:footerReference r:id="rId3" w:type="default"/>
      <w:footerReference r:id="rId4" w:type="even"/>
      <w:pgSz w:w="11906" w:h="16838"/>
      <w:pgMar w:top="1701" w:right="1417" w:bottom="158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sz w:val="28"/>
        <w:szCs w:val="28"/>
      </w:rPr>
    </w:pPr>
    <w:r>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8YcVu/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Pu9Nmofh9hSJROaWJkyw82C6pKxuXqi0BU/z3PX4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fGHFbvwEAAIwDAAAOAAAAAAAAAAEAIAAAAB8BAABkcnMvZTJvRG9jLnhtbFBLBQYA&#10;AAAABgAGAFkBAABQBQAAAAA=&#10;">
          <v:path/>
          <v:fill on="f" focussize="0,0"/>
          <v:stroke on="f"/>
          <v:imagedata o:title=""/>
          <o:lock v:ext="edit"/>
          <v:textbox inset="0mm,0mm,0mm,0mm" style="mso-fit-shape-to-text:t;">
            <w:txbxContent>
              <w:p>
                <w:pPr>
                  <w:pStyle w:val="6"/>
                  <w:ind w:right="280"/>
                  <w:jc w:val="right"/>
                </w:pPr>
                <w:r>
                  <w:rPr>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 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80" w:firstLineChars="100"/>
      <w:jc w:val="both"/>
      <w:rPr>
        <w:rFonts w:ascii="宋体" w:hAnsi="宋体"/>
        <w:sz w:val="28"/>
        <w:szCs w:val="28"/>
      </w:rPr>
    </w:pPr>
    <w:r>
      <w:pict>
        <v:rect id="_x0000_s1027" o:spid="_x0000_s1027"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path/>
          <v:fill on="f" focussize="0,0"/>
          <v:stroke on="f"/>
          <v:imagedata o:title=""/>
          <o:lock v:ext="edit"/>
          <v:textbox inset="0mm,0mm,0mm,0mm" style="mso-fit-shape-to-text:t;">
            <w:txbxContent>
              <w:p>
                <w:pPr>
                  <w:pStyle w:val="6"/>
                  <w:ind w:firstLine="280" w:firstLineChars="1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E51F8"/>
    <w:multiLevelType w:val="singleLevel"/>
    <w:tmpl w:val="FF3E51F8"/>
    <w:lvl w:ilvl="0" w:tentative="0">
      <w:start w:val="8"/>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A2F54CF"/>
    <w:rsid w:val="000E6BDE"/>
    <w:rsid w:val="007F4439"/>
    <w:rsid w:val="00CF49E4"/>
    <w:rsid w:val="00EB275B"/>
    <w:rsid w:val="01D3492A"/>
    <w:rsid w:val="024D23ED"/>
    <w:rsid w:val="02C123B0"/>
    <w:rsid w:val="031D1CA8"/>
    <w:rsid w:val="03B87AF5"/>
    <w:rsid w:val="03D61C50"/>
    <w:rsid w:val="05A44C81"/>
    <w:rsid w:val="05F15F19"/>
    <w:rsid w:val="07A229B6"/>
    <w:rsid w:val="0EE633CC"/>
    <w:rsid w:val="0F9A7E41"/>
    <w:rsid w:val="10A716A8"/>
    <w:rsid w:val="134D25C5"/>
    <w:rsid w:val="1369709C"/>
    <w:rsid w:val="141F44BA"/>
    <w:rsid w:val="15B67966"/>
    <w:rsid w:val="17EE4066"/>
    <w:rsid w:val="18AB4B95"/>
    <w:rsid w:val="195D42DE"/>
    <w:rsid w:val="2151349E"/>
    <w:rsid w:val="21C51C91"/>
    <w:rsid w:val="220B3363"/>
    <w:rsid w:val="231257E1"/>
    <w:rsid w:val="24213103"/>
    <w:rsid w:val="290072E0"/>
    <w:rsid w:val="29CF351D"/>
    <w:rsid w:val="2B487128"/>
    <w:rsid w:val="2DAE2D36"/>
    <w:rsid w:val="2DE14D3C"/>
    <w:rsid w:val="2DF64FD5"/>
    <w:rsid w:val="2EB17060"/>
    <w:rsid w:val="2FB252BA"/>
    <w:rsid w:val="30D47274"/>
    <w:rsid w:val="31315ADD"/>
    <w:rsid w:val="318E375F"/>
    <w:rsid w:val="32DB6D57"/>
    <w:rsid w:val="32ED1E0F"/>
    <w:rsid w:val="335F5DAD"/>
    <w:rsid w:val="34C53F49"/>
    <w:rsid w:val="37EB3CC7"/>
    <w:rsid w:val="39044D78"/>
    <w:rsid w:val="39377307"/>
    <w:rsid w:val="3F027F61"/>
    <w:rsid w:val="41201FB9"/>
    <w:rsid w:val="424D7F00"/>
    <w:rsid w:val="42C3546C"/>
    <w:rsid w:val="439A6943"/>
    <w:rsid w:val="443841D8"/>
    <w:rsid w:val="44E45887"/>
    <w:rsid w:val="46AB45BA"/>
    <w:rsid w:val="46C20369"/>
    <w:rsid w:val="48D74959"/>
    <w:rsid w:val="48E00E00"/>
    <w:rsid w:val="4936609D"/>
    <w:rsid w:val="4AF91ADF"/>
    <w:rsid w:val="4B8A2B25"/>
    <w:rsid w:val="4EDB1267"/>
    <w:rsid w:val="4F003E56"/>
    <w:rsid w:val="52D03874"/>
    <w:rsid w:val="541E04FD"/>
    <w:rsid w:val="54BF1868"/>
    <w:rsid w:val="55644A1D"/>
    <w:rsid w:val="55856E40"/>
    <w:rsid w:val="59CD02A3"/>
    <w:rsid w:val="5A2F54CF"/>
    <w:rsid w:val="5AA61B94"/>
    <w:rsid w:val="5B1A2BEA"/>
    <w:rsid w:val="5B224F9B"/>
    <w:rsid w:val="5DEB541D"/>
    <w:rsid w:val="5E5D002A"/>
    <w:rsid w:val="5EE3778C"/>
    <w:rsid w:val="64073EA7"/>
    <w:rsid w:val="64582878"/>
    <w:rsid w:val="65FC58C9"/>
    <w:rsid w:val="67C31EE1"/>
    <w:rsid w:val="69264A18"/>
    <w:rsid w:val="6E8C6BDA"/>
    <w:rsid w:val="74B85A41"/>
    <w:rsid w:val="75766EE9"/>
    <w:rsid w:val="75773E02"/>
    <w:rsid w:val="7603075A"/>
    <w:rsid w:val="767014FB"/>
    <w:rsid w:val="76BB783A"/>
    <w:rsid w:val="776A5372"/>
    <w:rsid w:val="780210ED"/>
    <w:rsid w:val="7AEA7832"/>
    <w:rsid w:val="7D22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600" w:lineRule="exact"/>
      <w:ind w:firstLine="782"/>
    </w:pPr>
    <w:rPr>
      <w:rFonts w:ascii="宋体" w:hAnsi="宋体"/>
      <w:snapToGrid w:val="0"/>
      <w:kern w:val="0"/>
      <w:sz w:val="32"/>
    </w:rPr>
  </w:style>
  <w:style w:type="paragraph" w:styleId="4">
    <w:name w:val="Normal Indent"/>
    <w:basedOn w:val="1"/>
    <w:next w:val="1"/>
    <w:qFormat/>
    <w:uiPriority w:val="0"/>
    <w:pPr>
      <w:spacing w:line="360" w:lineRule="auto"/>
      <w:ind w:firstLine="200" w:firstLineChars="200"/>
    </w:pPr>
    <w:rPr>
      <w:sz w:val="24"/>
      <w:szCs w:val="20"/>
    </w:rPr>
  </w:style>
  <w:style w:type="paragraph" w:styleId="5">
    <w:name w:val="Body Text"/>
    <w:basedOn w:val="1"/>
    <w:next w:val="1"/>
    <w:qFormat/>
    <w:uiPriority w:val="0"/>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0"/>
  </w:style>
  <w:style w:type="paragraph" w:customStyle="1" w:styleId="11">
    <w:name w:val="Body Text First Indent 21"/>
    <w:basedOn w:val="12"/>
    <w:next w:val="13"/>
    <w:qFormat/>
    <w:uiPriority w:val="0"/>
    <w:pPr>
      <w:tabs>
        <w:tab w:val="left" w:pos="1260"/>
      </w:tabs>
      <w:ind w:left="200" w:firstLine="420"/>
    </w:pPr>
    <w:rPr>
      <w:rFonts w:ascii="Times New Roman"/>
    </w:rPr>
  </w:style>
  <w:style w:type="paragraph" w:customStyle="1" w:styleId="12">
    <w:name w:val="Body Text Indent1"/>
    <w:basedOn w:val="1"/>
    <w:next w:val="11"/>
    <w:qFormat/>
    <w:uiPriority w:val="0"/>
    <w:pPr>
      <w:spacing w:line="480" w:lineRule="auto"/>
      <w:ind w:firstLine="640" w:firstLineChars="200"/>
    </w:pPr>
    <w:rPr>
      <w:rFonts w:ascii="仿宋_GB2312" w:hAnsi="Calibri" w:eastAsia="仿宋_GB2312"/>
      <w:sz w:val="32"/>
      <w:szCs w:val="22"/>
    </w:rPr>
  </w:style>
  <w:style w:type="paragraph" w:customStyle="1" w:styleId="13">
    <w:name w:val="正文首行缩进1"/>
    <w:basedOn w:val="5"/>
    <w:next w:val="5"/>
    <w:qFormat/>
    <w:uiPriority w:val="0"/>
    <w:pPr>
      <w:snapToGrid w:val="0"/>
      <w:spacing w:line="579" w:lineRule="exact"/>
      <w:ind w:firstLine="720" w:firstLineChars="200"/>
    </w:pPr>
    <w:rPr>
      <w:sz w:val="32"/>
    </w:rPr>
  </w:style>
  <w:style w:type="paragraph" w:customStyle="1" w:styleId="14">
    <w:name w:val="首行缩进"/>
    <w:basedOn w:val="1"/>
    <w:qFormat/>
    <w:uiPriority w:val="0"/>
    <w:pPr>
      <w:ind w:firstLine="480" w:firstLineChars="200"/>
    </w:pPr>
    <w:rPr>
      <w:lang w:val="zh-CN"/>
    </w:rPr>
  </w:style>
  <w:style w:type="paragraph" w:customStyle="1" w:styleId="15">
    <w:name w:val="p15"/>
    <w:basedOn w:val="1"/>
    <w:qFormat/>
    <w:uiPriority w:val="0"/>
    <w:pPr>
      <w:widowControl/>
    </w:pPr>
    <w:rPr>
      <w:rFonts w:ascii="宋体" w:hAnsi="宋体" w:cs="宋体"/>
      <w:kern w:val="0"/>
      <w:szCs w:val="21"/>
    </w:rPr>
  </w:style>
  <w:style w:type="paragraph" w:customStyle="1" w:styleId="16">
    <w:name w:val="方正黑体GBK三号"/>
    <w:basedOn w:val="17"/>
    <w:qFormat/>
    <w:uiPriority w:val="0"/>
    <w:rPr>
      <w:rFonts w:eastAsia="方正黑体_GBK"/>
    </w:rPr>
  </w:style>
  <w:style w:type="paragraph" w:customStyle="1" w:styleId="17">
    <w:name w:val="方正仿宋GBK三号"/>
    <w:basedOn w:val="1"/>
    <w:qFormat/>
    <w:uiPriority w:val="0"/>
    <w:pPr>
      <w:spacing w:line="560" w:lineRule="exact"/>
      <w:ind w:firstLine="420" w:firstLineChars="200"/>
    </w:pPr>
    <w:rPr>
      <w:rFonts w:eastAsia="方正仿宋_GBK"/>
      <w:sz w:val="32"/>
    </w:rPr>
  </w:style>
  <w:style w:type="character" w:customStyle="1" w:styleId="18">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263</Words>
  <Characters>1500</Characters>
  <Lines>12</Lines>
  <Paragraphs>3</Paragraphs>
  <TotalTime>23</TotalTime>
  <ScaleCrop>false</ScaleCrop>
  <LinksUpToDate>false</LinksUpToDate>
  <CharactersWithSpaces>1760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2021-03-08T07:05:00Z</dcterms:created>
  <dc:creator>洛城</dc:creator>
  <cp:lastModifiedBy>你若安好便是晴天</cp:lastModifiedBy>
  <cp:lastPrinted>2022-01-18T09:17:55Z</cp:lastPrinted>
  <dcterms:modified xsi:type="dcterms:W3CDTF">2022-01-18T09:18:36Z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BA037DC5956B4B44AB84D9E6AC0EE3CE</vt:lpwstr>
  </property>
</Properties>
</file>